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left="0" w:leftChars="0" w:firstLine="0" w:firstLineChars="0"/>
        <w:rPr>
          <w:rFonts w:hint="eastAsia" w:ascii="Times New Roman" w:hAnsi="Times New Roman" w:eastAsia="黑体" w:cs="黑体"/>
          <w:kern w:val="2"/>
          <w:szCs w:val="32"/>
          <w:lang w:val="en-US" w:eastAsia="zh-CN" w:bidi="ar"/>
        </w:rPr>
      </w:pPr>
      <w:r>
        <w:rPr>
          <w:rFonts w:hint="eastAsia" w:ascii="Times New Roman" w:hAnsi="Times New Roman" w:eastAsia="黑体" w:cs="黑体"/>
          <w:kern w:val="2"/>
          <w:szCs w:val="32"/>
          <w:lang w:val="en-US" w:eastAsia="zh-CN" w:bidi="ar"/>
        </w:rPr>
        <w:t>附件2</w:t>
      </w:r>
    </w:p>
    <w:p>
      <w:pPr>
        <w:pStyle w:val="11"/>
        <w:rPr>
          <w:rFonts w:hint="eastAsia" w:ascii="Times New Roman" w:hAnsi="Times New Roman" w:eastAsia="黑体" w:cs="黑体"/>
          <w:kern w:val="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微软雅黑" w:cs="Times New Roman"/>
          <w:sz w:val="44"/>
          <w:szCs w:val="44"/>
          <w:lang w:val="en-US" w:eastAsia="zh-CN"/>
        </w:rPr>
      </w:pPr>
      <w:r>
        <w:rPr>
          <w:rFonts w:hint="default" w:ascii="Times New Roman" w:hAnsi="Times New Roman" w:eastAsia="微软雅黑" w:cs="Times New Roman"/>
          <w:sz w:val="44"/>
          <w:szCs w:val="44"/>
          <w:lang w:val="en-US" w:eastAsia="zh-CN"/>
        </w:rPr>
        <w:t>强制性国家标准实施情况</w:t>
      </w:r>
      <w:bookmarkStart w:id="0" w:name="_GoBack"/>
      <w:bookmarkEnd w:id="0"/>
      <w:r>
        <w:rPr>
          <w:rFonts w:hint="default" w:ascii="Times New Roman" w:hAnsi="Times New Roman" w:eastAsia="微软雅黑" w:cs="Times New Roman"/>
          <w:sz w:val="44"/>
          <w:szCs w:val="44"/>
          <w:lang w:val="en-US" w:eastAsia="zh-CN"/>
        </w:rPr>
        <w:t>统计分析指南</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lang w:val="en-US" w:eastAsia="zh-CN"/>
        </w:rPr>
      </w:pPr>
      <w:r>
        <w:rPr>
          <w:rFonts w:hint="eastAsia" w:ascii="Times New Roman" w:hAnsi="Times New Roman" w:eastAsia="微软雅黑" w:cs="Times New Roman"/>
          <w:sz w:val="44"/>
          <w:szCs w:val="44"/>
          <w:lang w:val="en-US" w:eastAsia="zh-CN"/>
        </w:rPr>
        <w:t>（第一版）</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val="en-US" w:eastAsia="zh-CN"/>
        </w:rPr>
        <w:t>适用范围</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本指南适用于强制性国家标准实施情况统计分析工作，可为国家强制性标准实施情况统计分析点（</w:t>
      </w:r>
      <w:r>
        <w:rPr>
          <w:rFonts w:hint="eastAsia" w:ascii="Times New Roman" w:hAnsi="Times New Roman" w:cs="Times New Roman"/>
          <w:sz w:val="32"/>
          <w:szCs w:val="32"/>
          <w:lang w:val="en-US" w:eastAsia="zh-CN"/>
        </w:rPr>
        <w:t>以下</w:t>
      </w:r>
      <w:r>
        <w:rPr>
          <w:rFonts w:hint="eastAsia" w:ascii="Times New Roman" w:hAnsi="Times New Roman" w:eastAsia="仿宋_GB2312" w:cs="Times New Roman"/>
          <w:sz w:val="32"/>
          <w:szCs w:val="32"/>
          <w:lang w:val="en-US" w:eastAsia="zh-CN"/>
        </w:rPr>
        <w:t>简称统计分析点）等开展统计分析工作提供方法</w:t>
      </w:r>
      <w:r>
        <w:rPr>
          <w:rFonts w:hint="eastAsia" w:ascii="Times New Roman" w:hAnsi="Times New Roman" w:cs="Times New Roman"/>
          <w:sz w:val="32"/>
          <w:szCs w:val="32"/>
          <w:lang w:val="en-US" w:eastAsia="zh-CN"/>
        </w:rPr>
        <w:t>指导</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val="en-US" w:eastAsia="zh-CN"/>
        </w:rPr>
        <w:t>统计分析内容</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w:t>
      </w:r>
      <w:r>
        <w:rPr>
          <w:rFonts w:hint="default" w:ascii="Times New Roman" w:hAnsi="Times New Roman" w:eastAsia="仿宋_GB2312" w:cs="Times New Roman"/>
          <w:spacing w:val="6"/>
          <w:sz w:val="32"/>
          <w:szCs w:val="32"/>
          <w:lang w:val="en-US" w:eastAsia="zh-CN"/>
        </w:rPr>
        <w:t>据产品、过程和服务等不同类别标准的特点，提出差异化、有针对性的统计分析内容和指标。统计分析内容包括但不限于：</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楷体" w:cs="Times New Roman"/>
          <w:sz w:val="32"/>
          <w:szCs w:val="32"/>
          <w:lang w:eastAsia="zh-CN"/>
        </w:rPr>
      </w:pPr>
      <w:r>
        <w:rPr>
          <w:rFonts w:hint="eastAsia" w:ascii="Times New Roman" w:hAnsi="Times New Roman" w:eastAsia="楷体" w:cs="Times New Roman"/>
          <w:sz w:val="32"/>
          <w:szCs w:val="32"/>
          <w:lang w:val="en-US" w:eastAsia="zh-CN"/>
        </w:rPr>
        <w:t>（一）</w:t>
      </w:r>
      <w:r>
        <w:rPr>
          <w:rFonts w:hint="default" w:ascii="Times New Roman" w:hAnsi="Times New Roman" w:eastAsia="楷体" w:cs="Times New Roman"/>
          <w:sz w:val="32"/>
          <w:szCs w:val="32"/>
          <w:lang w:val="en-US" w:eastAsia="zh-CN"/>
        </w:rPr>
        <w:t>标准执行情况分析</w:t>
      </w:r>
      <w:r>
        <w:rPr>
          <w:rFonts w:hint="default" w:ascii="Times New Roman" w:hAnsi="Times New Roman" w:eastAsia="仿宋_GB2312" w:cs="Times New Roman"/>
          <w:sz w:val="32"/>
          <w:szCs w:val="32"/>
          <w:lang w:val="en-US" w:eastAsia="zh-CN"/>
        </w:rPr>
        <w:t>。重点分析企业对标准的总体执行情况，政府在市场准入、事中事后监管</w:t>
      </w:r>
      <w:r>
        <w:rPr>
          <w:rFonts w:hint="eastAsia" w:ascii="Times New Roman" w:hAnsi="Times New Roman" w:eastAsia="仿宋_GB2312" w:cs="Times New Roman"/>
          <w:sz w:val="32"/>
          <w:szCs w:val="32"/>
          <w:lang w:val="en-US" w:eastAsia="zh-CN"/>
        </w:rPr>
        <w:t>、法律法规</w:t>
      </w:r>
      <w:r>
        <w:rPr>
          <w:rFonts w:hint="default" w:ascii="Times New Roman" w:hAnsi="Times New Roman" w:eastAsia="仿宋_GB2312" w:cs="Times New Roman"/>
          <w:sz w:val="32"/>
          <w:szCs w:val="32"/>
          <w:lang w:val="en-US" w:eastAsia="zh-CN"/>
        </w:rPr>
        <w:t>政策引用</w:t>
      </w:r>
      <w:r>
        <w:rPr>
          <w:rFonts w:hint="eastAsia" w:ascii="Times New Roman" w:hAnsi="Times New Roman" w:eastAsia="仿宋_GB2312" w:cs="Times New Roman"/>
          <w:sz w:val="32"/>
          <w:szCs w:val="32"/>
          <w:lang w:val="en-US" w:eastAsia="zh-CN"/>
        </w:rPr>
        <w:t>、司法</w:t>
      </w:r>
      <w:r>
        <w:rPr>
          <w:rFonts w:hint="eastAsia" w:ascii="Times New Roman" w:hAnsi="Times New Roman" w:cs="Times New Roman"/>
          <w:sz w:val="32"/>
          <w:szCs w:val="32"/>
          <w:lang w:val="en-US" w:eastAsia="zh-CN"/>
        </w:rPr>
        <w:t>等</w:t>
      </w:r>
      <w:r>
        <w:rPr>
          <w:rFonts w:hint="default" w:ascii="Times New Roman" w:hAnsi="Times New Roman" w:eastAsia="仿宋_GB2312" w:cs="Times New Roman"/>
          <w:sz w:val="32"/>
          <w:szCs w:val="32"/>
          <w:lang w:val="en-US" w:eastAsia="zh-CN"/>
        </w:rPr>
        <w:t>方面对标准的应用情况，</w:t>
      </w:r>
      <w:r>
        <w:rPr>
          <w:rFonts w:hint="eastAsia" w:ascii="Times New Roman" w:hAnsi="Times New Roman" w:eastAsia="仿宋_GB2312" w:cs="Times New Roman"/>
          <w:sz w:val="32"/>
          <w:szCs w:val="32"/>
          <w:lang w:val="en-US" w:eastAsia="zh-CN"/>
        </w:rPr>
        <w:t>检验、检测、认证或鉴定等机构应用标准的情况，公众</w:t>
      </w:r>
      <w:r>
        <w:rPr>
          <w:rFonts w:hint="default" w:ascii="Times New Roman" w:hAnsi="Times New Roman" w:eastAsia="仿宋_GB2312" w:cs="Times New Roman"/>
          <w:sz w:val="32"/>
          <w:szCs w:val="32"/>
          <w:lang w:val="en-US" w:eastAsia="zh-CN"/>
        </w:rPr>
        <w:t>对标准的认知情况。</w:t>
      </w:r>
      <w:r>
        <w:rPr>
          <w:rFonts w:hint="eastAsia" w:ascii="Times New Roman" w:hAnsi="Times New Roman" w:eastAsia="仿宋_GB2312" w:cs="Times New Roman"/>
          <w:sz w:val="32"/>
          <w:szCs w:val="32"/>
          <w:lang w:val="en-US" w:eastAsia="zh-CN"/>
        </w:rPr>
        <w:t>可定量评估标准执行及达标情况。</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eastAsia="zh-CN"/>
        </w:rPr>
        <w:t>二</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标准适用性分析</w:t>
      </w:r>
      <w:r>
        <w:rPr>
          <w:rFonts w:hint="default" w:ascii="Times New Roman" w:hAnsi="Times New Roman" w:eastAsia="仿宋_GB2312" w:cs="Times New Roman"/>
          <w:sz w:val="32"/>
          <w:szCs w:val="32"/>
        </w:rPr>
        <w:t>。重点分析标准适用范围</w:t>
      </w:r>
      <w:r>
        <w:rPr>
          <w:rFonts w:hint="default" w:ascii="Times New Roman" w:hAnsi="Times New Roman" w:eastAsia="仿宋_GB2312" w:cs="Times New Roman"/>
          <w:sz w:val="32"/>
          <w:szCs w:val="32"/>
          <w:lang w:eastAsia="zh-CN"/>
        </w:rPr>
        <w:t>与当前产业发展水平</w:t>
      </w:r>
      <w:r>
        <w:rPr>
          <w:rFonts w:hint="default" w:ascii="Times New Roman" w:hAnsi="Times New Roman" w:eastAsia="仿宋_GB2312" w:cs="Times New Roman"/>
          <w:sz w:val="32"/>
          <w:szCs w:val="32"/>
        </w:rPr>
        <w:t>是否</w:t>
      </w:r>
      <w:r>
        <w:rPr>
          <w:rFonts w:hint="default" w:ascii="Times New Roman" w:hAnsi="Times New Roman" w:eastAsia="仿宋_GB2312" w:cs="Times New Roman"/>
          <w:sz w:val="32"/>
          <w:szCs w:val="32"/>
          <w:lang w:eastAsia="zh-CN"/>
        </w:rPr>
        <w:t>匹配，</w:t>
      </w:r>
      <w:r>
        <w:rPr>
          <w:rFonts w:hint="eastAsia" w:ascii="Times New Roman" w:hAnsi="Times New Roman" w:eastAsia="仿宋_GB2312" w:cs="Times New Roman"/>
          <w:sz w:val="32"/>
          <w:szCs w:val="32"/>
          <w:lang w:eastAsia="zh-CN"/>
        </w:rPr>
        <w:t>例</w:t>
      </w:r>
      <w:r>
        <w:rPr>
          <w:rFonts w:hint="default" w:ascii="Times New Roman" w:hAnsi="Times New Roman" w:eastAsia="仿宋_GB2312" w:cs="Times New Roman"/>
          <w:sz w:val="32"/>
          <w:szCs w:val="32"/>
          <w:lang w:eastAsia="zh-CN"/>
        </w:rPr>
        <w:t>如是否存在未被覆盖的新技术、</w:t>
      </w:r>
      <w:r>
        <w:rPr>
          <w:rFonts w:hint="eastAsia" w:ascii="Times New Roman" w:hAnsi="Times New Roman" w:eastAsia="仿宋_GB2312" w:cs="Times New Roman"/>
          <w:sz w:val="32"/>
          <w:szCs w:val="32"/>
          <w:lang w:val="en-US" w:eastAsia="zh-CN"/>
        </w:rPr>
        <w:t>新产品、新业态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规范性引用文件是否现行有效</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例</w:t>
      </w:r>
      <w:r>
        <w:rPr>
          <w:rFonts w:hint="default" w:ascii="Times New Roman" w:hAnsi="Times New Roman" w:eastAsia="仿宋_GB2312" w:cs="Times New Roman"/>
          <w:sz w:val="32"/>
          <w:szCs w:val="32"/>
          <w:lang w:eastAsia="zh-CN"/>
        </w:rPr>
        <w:t>如引用的检测方法</w:t>
      </w:r>
      <w:r>
        <w:rPr>
          <w:rFonts w:hint="eastAsia" w:ascii="Times New Roman" w:hAnsi="Times New Roman" w:eastAsia="仿宋_GB2312" w:cs="Times New Roman"/>
          <w:sz w:val="32"/>
          <w:szCs w:val="32"/>
          <w:lang w:eastAsia="zh-CN"/>
        </w:rPr>
        <w:t>标准</w:t>
      </w:r>
      <w:r>
        <w:rPr>
          <w:rFonts w:hint="default" w:ascii="Times New Roman" w:hAnsi="Times New Roman" w:eastAsia="仿宋_GB2312" w:cs="Times New Roman"/>
          <w:sz w:val="32"/>
          <w:szCs w:val="32"/>
          <w:lang w:eastAsia="zh-CN"/>
        </w:rPr>
        <w:t>是否已经更新；</w:t>
      </w:r>
      <w:r>
        <w:rPr>
          <w:rFonts w:hint="default" w:ascii="Times New Roman" w:hAnsi="Times New Roman" w:eastAsia="仿宋_GB2312" w:cs="Times New Roman"/>
          <w:color w:val="auto"/>
          <w:sz w:val="32"/>
          <w:szCs w:val="32"/>
          <w:lang w:val="en-US" w:eastAsia="zh-CN"/>
        </w:rPr>
        <w:t>具体技术要求和指标规定的明确、清晰程度；</w:t>
      </w:r>
      <w:r>
        <w:rPr>
          <w:rFonts w:hint="default" w:ascii="Times New Roman" w:hAnsi="Times New Roman" w:eastAsia="仿宋_GB2312" w:cs="Times New Roman"/>
          <w:sz w:val="32"/>
          <w:szCs w:val="32"/>
          <w:lang w:eastAsia="zh-CN"/>
        </w:rPr>
        <w:t>与当前</w:t>
      </w:r>
      <w:r>
        <w:rPr>
          <w:rFonts w:hint="eastAsia" w:ascii="Times New Roman" w:hAnsi="Times New Roman" w:eastAsia="仿宋_GB2312" w:cs="Times New Roman"/>
          <w:sz w:val="32"/>
          <w:szCs w:val="32"/>
          <w:lang w:val="en-US" w:eastAsia="zh-CN"/>
        </w:rPr>
        <w:t>国内</w:t>
      </w:r>
      <w:r>
        <w:rPr>
          <w:rFonts w:hint="default" w:ascii="Times New Roman" w:hAnsi="Times New Roman" w:eastAsia="仿宋_GB2312" w:cs="Times New Roman"/>
          <w:sz w:val="32"/>
          <w:szCs w:val="32"/>
          <w:lang w:eastAsia="zh-CN"/>
        </w:rPr>
        <w:t>出现的新情况、新问题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新需求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以及</w:t>
      </w:r>
      <w:r>
        <w:rPr>
          <w:rFonts w:hint="default" w:ascii="Times New Roman" w:hAnsi="Times New Roman" w:eastAsia="仿宋_GB2312" w:cs="Times New Roman"/>
          <w:sz w:val="32"/>
          <w:szCs w:val="32"/>
          <w:lang w:eastAsia="zh-CN"/>
        </w:rPr>
        <w:t>国际国外最新技术法规或标准相比，</w:t>
      </w:r>
      <w:r>
        <w:rPr>
          <w:rFonts w:hint="default" w:ascii="Times New Roman" w:hAnsi="Times New Roman" w:eastAsia="仿宋_GB2312" w:cs="Times New Roman"/>
          <w:sz w:val="32"/>
          <w:szCs w:val="32"/>
        </w:rPr>
        <w:t>标准技术指标是否覆盖全面</w:t>
      </w:r>
      <w:r>
        <w:rPr>
          <w:rFonts w:hint="default" w:ascii="Times New Roman" w:hAnsi="Times New Roman" w:eastAsia="仿宋_GB2312" w:cs="Times New Roman"/>
          <w:sz w:val="32"/>
          <w:szCs w:val="32"/>
          <w:lang w:eastAsia="zh-CN"/>
        </w:rPr>
        <w:t>，标准技术要求是否</w:t>
      </w:r>
      <w:r>
        <w:rPr>
          <w:rFonts w:hint="eastAsia" w:ascii="Times New Roman" w:hAnsi="Times New Roman" w:eastAsia="仿宋_GB2312" w:cs="Times New Roman"/>
          <w:sz w:val="32"/>
          <w:szCs w:val="32"/>
          <w:lang w:eastAsia="zh-CN"/>
        </w:rPr>
        <w:t>先进</w:t>
      </w:r>
      <w:r>
        <w:rPr>
          <w:rFonts w:hint="default" w:ascii="Times New Roman" w:hAnsi="Times New Roman" w:eastAsia="仿宋_GB2312" w:cs="Times New Roman"/>
          <w:sz w:val="32"/>
          <w:szCs w:val="32"/>
          <w:lang w:eastAsia="zh-CN"/>
        </w:rPr>
        <w:t>合理</w:t>
      </w:r>
      <w:r>
        <w:rPr>
          <w:rFonts w:hint="eastAsia" w:ascii="Times New Roman" w:hAnsi="Times New Roman" w:eastAsia="仿宋_GB2312" w:cs="Times New Roman"/>
          <w:sz w:val="32"/>
          <w:szCs w:val="32"/>
          <w:lang w:eastAsia="zh-CN"/>
        </w:rPr>
        <w:t>、是否与国际标准主要技术指标一致，是否有利于保持和提升我国相关产业在国际上的发展水平。</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eastAsia="zh-CN"/>
        </w:rPr>
        <w:t>（</w:t>
      </w:r>
      <w:r>
        <w:rPr>
          <w:rFonts w:hint="eastAsia" w:ascii="Times New Roman" w:hAnsi="Times New Roman" w:eastAsia="楷体" w:cs="Times New Roman"/>
          <w:sz w:val="32"/>
          <w:szCs w:val="32"/>
          <w:lang w:eastAsia="zh-CN"/>
        </w:rPr>
        <w:t>三</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rPr>
        <w:t>标准协调性分析</w:t>
      </w:r>
      <w:r>
        <w:rPr>
          <w:rFonts w:hint="default" w:ascii="Times New Roman" w:hAnsi="Times New Roman" w:eastAsia="仿宋_GB2312" w:cs="Times New Roman"/>
          <w:sz w:val="32"/>
          <w:szCs w:val="32"/>
        </w:rPr>
        <w:t>。重点分析</w:t>
      </w:r>
      <w:r>
        <w:rPr>
          <w:rFonts w:hint="eastAsia" w:ascii="Times New Roman" w:hAnsi="Times New Roman" w:eastAsia="仿宋_GB2312" w:cs="Times New Roman"/>
          <w:sz w:val="32"/>
          <w:szCs w:val="32"/>
          <w:lang w:eastAsia="zh-CN"/>
        </w:rPr>
        <w:t>该强制性国家标准</w:t>
      </w:r>
      <w:r>
        <w:rPr>
          <w:rFonts w:hint="default" w:ascii="Times New Roman" w:hAnsi="Times New Roman" w:eastAsia="仿宋_GB2312" w:cs="Times New Roman"/>
          <w:sz w:val="32"/>
          <w:szCs w:val="32"/>
        </w:rPr>
        <w:t>与其他</w:t>
      </w:r>
      <w:r>
        <w:rPr>
          <w:rFonts w:hint="default" w:ascii="Times New Roman" w:hAnsi="Times New Roman" w:eastAsia="仿宋_GB2312" w:cs="Times New Roman"/>
          <w:sz w:val="32"/>
          <w:szCs w:val="32"/>
          <w:lang w:eastAsia="zh-CN"/>
        </w:rPr>
        <w:t>强制性</w:t>
      </w:r>
      <w:r>
        <w:rPr>
          <w:rFonts w:hint="default" w:ascii="Times New Roman" w:hAnsi="Times New Roman" w:eastAsia="仿宋_GB2312" w:cs="Times New Roman"/>
          <w:sz w:val="32"/>
          <w:szCs w:val="32"/>
        </w:rPr>
        <w:t>标准主要技术指标</w:t>
      </w:r>
      <w:r>
        <w:rPr>
          <w:rFonts w:hint="eastAsia" w:ascii="Times New Roman" w:hAnsi="Times New Roman" w:eastAsia="仿宋_GB2312" w:cs="Times New Roman"/>
          <w:sz w:val="32"/>
          <w:szCs w:val="32"/>
          <w:lang w:eastAsia="zh-CN"/>
        </w:rPr>
        <w:t>的协调情况</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与</w:t>
      </w:r>
      <w:r>
        <w:rPr>
          <w:rFonts w:hint="default" w:ascii="Times New Roman" w:hAnsi="Times New Roman" w:eastAsia="仿宋_GB2312" w:cs="Times New Roman"/>
          <w:sz w:val="32"/>
          <w:szCs w:val="32"/>
          <w:lang w:eastAsia="zh-CN"/>
        </w:rPr>
        <w:t>支撑该标准实施</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配套标准</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lang w:val="en-US" w:eastAsia="zh-CN"/>
        </w:rPr>
        <w:t>协调</w:t>
      </w:r>
      <w:r>
        <w:rPr>
          <w:rFonts w:hint="eastAsia" w:ascii="Times New Roman" w:hAnsi="Times New Roman" w:eastAsia="仿宋_GB2312" w:cs="Times New Roman"/>
          <w:sz w:val="32"/>
          <w:szCs w:val="32"/>
          <w:lang w:eastAsia="zh-CN"/>
        </w:rPr>
        <w:t>情况，与</w:t>
      </w:r>
      <w:r>
        <w:rPr>
          <w:rFonts w:hint="eastAsia" w:ascii="Times New Roman" w:hAnsi="Times New Roman" w:eastAsia="仿宋_GB2312" w:cs="Times New Roman"/>
          <w:sz w:val="32"/>
          <w:szCs w:val="32"/>
          <w:lang w:val="en-US" w:eastAsia="zh-CN"/>
        </w:rPr>
        <w:t>以强制性国家标准为核心的标准体系的协调情况，</w:t>
      </w:r>
      <w:r>
        <w:rPr>
          <w:rFonts w:hint="default" w:ascii="Times New Roman" w:hAnsi="Times New Roman" w:eastAsia="仿宋_GB2312" w:cs="Times New Roman"/>
          <w:sz w:val="32"/>
          <w:szCs w:val="32"/>
        </w:rPr>
        <w:t>与相关法律法规、部门规章</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产业政策的</w:t>
      </w:r>
      <w:r>
        <w:rPr>
          <w:rFonts w:hint="eastAsia" w:ascii="Times New Roman" w:hAnsi="Times New Roman" w:eastAsia="仿宋_GB2312" w:cs="Times New Roman"/>
          <w:sz w:val="32"/>
          <w:szCs w:val="32"/>
          <w:lang w:eastAsia="zh-CN"/>
        </w:rPr>
        <w:t>协调</w:t>
      </w:r>
      <w:r>
        <w:rPr>
          <w:rFonts w:hint="default" w:ascii="Times New Roman" w:hAnsi="Times New Roman" w:eastAsia="仿宋_GB2312" w:cs="Times New Roman"/>
          <w:sz w:val="32"/>
          <w:szCs w:val="32"/>
        </w:rPr>
        <w:t>情况。</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lang w:val="en-US" w:eastAsia="zh-CN"/>
        </w:rPr>
        <w:t>）标准</w:t>
      </w:r>
      <w:r>
        <w:rPr>
          <w:rFonts w:hint="eastAsia" w:ascii="Times New Roman" w:hAnsi="Times New Roman" w:eastAsia="楷体" w:cs="Times New Roman"/>
          <w:sz w:val="32"/>
          <w:szCs w:val="32"/>
          <w:lang w:val="en-US" w:eastAsia="zh-CN"/>
        </w:rPr>
        <w:t>实施制约因素</w:t>
      </w:r>
      <w:r>
        <w:rPr>
          <w:rFonts w:hint="default" w:ascii="Times New Roman" w:hAnsi="Times New Roman" w:eastAsia="楷体" w:cs="Times New Roman"/>
          <w:sz w:val="32"/>
          <w:szCs w:val="32"/>
          <w:lang w:val="en-US" w:eastAsia="zh-CN"/>
        </w:rPr>
        <w:t>分析</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重点分析未达标企业实施标准过程中存在的达标难点和问题，着重从设计、技术、工艺设备、材料、检测、人员能力、标准理解、投入等方面，识别分析未达标的原因，给出针对性的解决措施和建议。</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w:t>
      </w:r>
      <w:r>
        <w:rPr>
          <w:rFonts w:hint="eastAsia" w:ascii="Times New Roman" w:hAnsi="Times New Roman" w:eastAsia="楷体" w:cs="Times New Roman"/>
          <w:sz w:val="32"/>
          <w:szCs w:val="32"/>
          <w:lang w:val="en-US" w:eastAsia="zh-CN"/>
        </w:rPr>
        <w:t>五</w:t>
      </w:r>
      <w:r>
        <w:rPr>
          <w:rFonts w:hint="default" w:ascii="Times New Roman" w:hAnsi="Times New Roman" w:eastAsia="楷体" w:cs="Times New Roman"/>
          <w:sz w:val="32"/>
          <w:szCs w:val="32"/>
          <w:lang w:val="en-US" w:eastAsia="zh-CN"/>
        </w:rPr>
        <w:t>）标准实施</w:t>
      </w:r>
      <w:r>
        <w:rPr>
          <w:rFonts w:hint="eastAsia" w:ascii="Times New Roman" w:hAnsi="Times New Roman" w:eastAsia="楷体" w:cs="Times New Roman"/>
          <w:sz w:val="32"/>
          <w:szCs w:val="32"/>
          <w:lang w:val="en-US" w:eastAsia="zh-CN"/>
        </w:rPr>
        <w:t>成效</w:t>
      </w:r>
      <w:r>
        <w:rPr>
          <w:rFonts w:hint="default" w:ascii="Times New Roman" w:hAnsi="Times New Roman" w:eastAsia="楷体" w:cs="Times New Roman"/>
          <w:sz w:val="32"/>
          <w:szCs w:val="32"/>
          <w:lang w:val="en-US" w:eastAsia="zh-CN"/>
        </w:rPr>
        <w:t>分析</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重点分析标准对保障民生和安全、</w:t>
      </w:r>
      <w:r>
        <w:rPr>
          <w:rFonts w:hint="eastAsia" w:ascii="Times New Roman" w:hAnsi="Times New Roman" w:eastAsia="仿宋_GB2312" w:cs="Times New Roman"/>
          <w:sz w:val="32"/>
          <w:szCs w:val="32"/>
          <w:lang w:eastAsia="zh-CN"/>
        </w:rPr>
        <w:t>推动</w:t>
      </w:r>
      <w:r>
        <w:rPr>
          <w:rFonts w:hint="default" w:ascii="Times New Roman" w:hAnsi="Times New Roman" w:eastAsia="仿宋_GB2312" w:cs="Times New Roman"/>
          <w:sz w:val="32"/>
          <w:szCs w:val="32"/>
          <w:lang w:eastAsia="zh-CN"/>
        </w:rPr>
        <w:t>行业高质量发展、促进贸易</w:t>
      </w:r>
      <w:r>
        <w:rPr>
          <w:rFonts w:hint="eastAsia" w:ascii="Times New Roman" w:hAnsi="Times New Roman" w:eastAsia="仿宋_GB2312" w:cs="Times New Roman"/>
          <w:sz w:val="32"/>
          <w:szCs w:val="32"/>
          <w:lang w:eastAsia="zh-CN"/>
        </w:rPr>
        <w:t>便利化</w:t>
      </w:r>
      <w:r>
        <w:rPr>
          <w:rFonts w:hint="default" w:ascii="Times New Roman" w:hAnsi="Times New Roman" w:eastAsia="仿宋_GB2312" w:cs="Times New Roman"/>
          <w:sz w:val="32"/>
          <w:szCs w:val="32"/>
          <w:lang w:eastAsia="zh-CN"/>
        </w:rPr>
        <w:t>、保护生态环境等方面的贡献和影响，提出经济效益、社会效益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生态</w:t>
      </w:r>
      <w:r>
        <w:rPr>
          <w:rFonts w:hint="default" w:ascii="Times New Roman" w:hAnsi="Times New Roman" w:eastAsia="仿宋_GB2312" w:cs="Times New Roman"/>
          <w:sz w:val="32"/>
          <w:szCs w:val="32"/>
          <w:lang w:eastAsia="zh-CN"/>
        </w:rPr>
        <w:t>效益指标。</w:t>
      </w:r>
      <w:r>
        <w:rPr>
          <w:rFonts w:hint="eastAsia" w:ascii="Times New Roman" w:hAnsi="Times New Roman" w:eastAsia="仿宋_GB2312" w:cs="Times New Roman"/>
          <w:sz w:val="32"/>
          <w:szCs w:val="32"/>
          <w:lang w:val="en-US" w:eastAsia="zh-CN"/>
        </w:rPr>
        <w:t>经济效益可以从产品或服务质量提升、行业总产值或利润变化、拉动投资效应、行业生产效率、产业集中度、自主品牌市场占有率、产业技术进步、产业国际竞争力、产品出口情况等方面选取定量指标。社会效益可以从公众满意度、拉动就业、消费者投诉变化、事故发生及死伤情况变化等方面选取定量指标。生态效益可以从污染物</w:t>
      </w:r>
      <w:r>
        <w:rPr>
          <w:rFonts w:hint="eastAsia" w:ascii="Times New Roman" w:hAnsi="Times New Roman" w:cs="Times New Roman"/>
          <w:sz w:val="32"/>
          <w:szCs w:val="32"/>
          <w:lang w:val="en-US" w:eastAsia="zh-CN"/>
        </w:rPr>
        <w:t>减排</w:t>
      </w:r>
      <w:r>
        <w:rPr>
          <w:rFonts w:hint="eastAsia" w:ascii="Times New Roman" w:hAnsi="Times New Roman" w:eastAsia="仿宋_GB2312" w:cs="Times New Roman"/>
          <w:sz w:val="32"/>
          <w:szCs w:val="32"/>
          <w:lang w:val="en-US" w:eastAsia="zh-CN"/>
        </w:rPr>
        <w:t>、碳</w:t>
      </w:r>
      <w:r>
        <w:rPr>
          <w:rFonts w:hint="eastAsia" w:ascii="Times New Roman" w:hAnsi="Times New Roman" w:cs="Times New Roman"/>
          <w:sz w:val="32"/>
          <w:szCs w:val="32"/>
          <w:lang w:val="en-US" w:eastAsia="zh-CN"/>
        </w:rPr>
        <w:t>减排</w:t>
      </w:r>
      <w:r>
        <w:rPr>
          <w:rFonts w:hint="eastAsia" w:ascii="Times New Roman" w:hAnsi="Times New Roman" w:eastAsia="仿宋_GB2312" w:cs="Times New Roman"/>
          <w:sz w:val="32"/>
          <w:szCs w:val="32"/>
          <w:lang w:val="en-US" w:eastAsia="zh-CN"/>
        </w:rPr>
        <w:t>、能源节约、水资源节约、材料节约、生态环境质量等方面选取定量指标。</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楷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w:t>
      </w:r>
      <w:r>
        <w:rPr>
          <w:rFonts w:hint="eastAsia" w:ascii="Times New Roman" w:hAnsi="Times New Roman" w:eastAsia="黑体" w:cs="Times New Roman"/>
          <w:sz w:val="32"/>
          <w:szCs w:val="32"/>
          <w:lang w:val="en-US" w:eastAsia="zh-CN"/>
        </w:rPr>
        <w:t>统计分析方法</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（一）标准资料及实施信息收集</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w:t>
      </w:r>
      <w:r>
        <w:rPr>
          <w:rFonts w:hint="eastAsia" w:ascii="Times New Roman" w:hAnsi="Times New Roman"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标准资料收集</w:t>
      </w:r>
    </w:p>
    <w:p>
      <w:pPr>
        <w:keepNext w:val="0"/>
        <w:keepLines w:val="0"/>
        <w:pageBreakBefore w:val="0"/>
        <w:widowControl w:val="0"/>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（1）标准正式文本及编制说明；</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（2）该标准配套标准的最新情况；</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r>
        <w:rPr>
          <w:rFonts w:hint="eastAsia" w:ascii="Times New Roman" w:hAnsi="Times New Roman" w:eastAsia="仿宋_GB2312" w:cs="Times New Roman"/>
          <w:sz w:val="32"/>
          <w:szCs w:val="32"/>
          <w:lang w:val="en-US" w:eastAsia="zh-CN"/>
        </w:rPr>
        <w:t>（3）所属领域的标准体系；</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国际或发达国家（区域）的最新技术法规、标准；</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（5）推动标准实施的有关法律法规、规划、政策和标准文件，如强制性产品认证实施细则、产品质量监督抽查实施细则；</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（6）与标准实施相关的检测实验室、认证机构清单；</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（7）与标准实施相关的技术工艺材料清单。</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 标准实施信息收集</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（1）市场准入数据，如强制性产品认证、生产许可、备案；</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（2）监督执法数据，如国家或地方产品质量监督抽查、执法机构的行政处罚；</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（3）检测机构的检测数据；</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（4）认证机构的现场检查数据；</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（5）标准化试点示范单位实施标准的数据；</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（6）标准组织起草部门、地方政府有关部门、标准化技术委员会、行业协会、统计分析点、国家技术标准创新基地等组织的标准宣贯数据，形成标准实施宣贯情况清单；</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全国标准信息公共服务平台的标准实施信息反馈</w:t>
      </w:r>
      <w:r>
        <w:rPr>
          <w:rFonts w:hint="eastAsia" w:ascii="Times New Roman" w:hAnsi="Times New Roman" w:eastAsia="仿宋_GB2312" w:cs="Times New Roman"/>
          <w:sz w:val="32"/>
          <w:szCs w:val="32"/>
          <w:lang w:val="en-US" w:eastAsia="zh-CN"/>
        </w:rPr>
        <w:t>数据；</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（8）国际或国外政府、机构或企业反馈的标准实施数据。</w:t>
      </w:r>
    </w:p>
    <w:p>
      <w:pPr>
        <w:keepNext w:val="0"/>
        <w:keepLines w:val="0"/>
        <w:pageBreakBefore w:val="0"/>
        <w:widowControl w:val="0"/>
        <w:kinsoku/>
        <w:wordWrap/>
        <w:overflowPunct/>
        <w:topLinePunct w:val="0"/>
        <w:autoSpaceDE/>
        <w:autoSpaceDN/>
        <w:bidi w:val="0"/>
        <w:adjustRightInd/>
        <w:snapToGrid/>
        <w:spacing w:line="594" w:lineRule="exact"/>
        <w:ind w:firstLine="620"/>
        <w:textAlignment w:val="auto"/>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（二）问卷调查</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面向企业等标准</w:t>
      </w:r>
      <w:r>
        <w:rPr>
          <w:rFonts w:hint="eastAsia" w:ascii="Times New Roman" w:hAnsi="Times New Roman" w:eastAsia="仿宋_GB2312" w:cs="Times New Roman"/>
          <w:b w:val="0"/>
          <w:bCs w:val="0"/>
          <w:sz w:val="32"/>
          <w:szCs w:val="32"/>
          <w:highlight w:val="none"/>
          <w:lang w:val="en-US" w:eastAsia="zh-CN"/>
        </w:rPr>
        <w:t>实施主体和消费者</w:t>
      </w:r>
      <w:r>
        <w:rPr>
          <w:rFonts w:hint="eastAsia" w:ascii="Times New Roman" w:hAnsi="Times New Roman" w:eastAsia="仿宋_GB2312" w:cs="Times New Roman"/>
          <w:b w:val="0"/>
          <w:bCs w:val="0"/>
          <w:sz w:val="32"/>
          <w:szCs w:val="32"/>
          <w:lang w:val="en-US" w:eastAsia="zh-CN"/>
        </w:rPr>
        <w:t>开展问卷调查，获取强制性国家标准实施情况的第一手数据。</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 企业等标准</w:t>
      </w:r>
      <w:r>
        <w:rPr>
          <w:rFonts w:hint="eastAsia" w:ascii="Times New Roman" w:hAnsi="Times New Roman" w:eastAsia="仿宋_GB2312" w:cs="Times New Roman"/>
          <w:b/>
          <w:bCs/>
          <w:sz w:val="32"/>
          <w:szCs w:val="32"/>
          <w:highlight w:val="none"/>
          <w:lang w:val="en-US" w:eastAsia="zh-CN"/>
        </w:rPr>
        <w:t>实施主体</w:t>
      </w:r>
      <w:r>
        <w:rPr>
          <w:rFonts w:hint="eastAsia" w:ascii="Times New Roman" w:hAnsi="Times New Roman" w:eastAsia="仿宋_GB2312" w:cs="Times New Roman"/>
          <w:b/>
          <w:bCs/>
          <w:sz w:val="32"/>
          <w:szCs w:val="32"/>
          <w:lang w:val="en-US" w:eastAsia="zh-CN"/>
        </w:rPr>
        <w:t>问卷调查</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企业等标准实施主体</w:t>
      </w:r>
      <w:r>
        <w:rPr>
          <w:rFonts w:hint="eastAsia" w:ascii="Times New Roman" w:hAnsi="Times New Roman" w:eastAsia="仿宋_GB2312" w:cs="Times New Roman"/>
          <w:sz w:val="32"/>
          <w:szCs w:val="32"/>
          <w:lang w:val="en-US" w:eastAsia="zh-CN"/>
        </w:rPr>
        <w:t>调查问卷参见附件2.2。在实际问卷设计时，可根据实际情况，修改完善调查问卷，尤其要科学设置实施成效（经济效益、社会效益、生态效益）方面的指标。</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研究确定有代表性的企业、检验检测和认证机构、社会团体、实施监督部门等实施主体，开展问卷调查和实地调研。面向企业问卷调查时，调查对象应覆盖不同区域、不同类别、不同规模，调查企业的数量可根据实际情况确定，一般情况下不少于行业企业总数的 10%或不少于 50家企业，行业企业总量少于50家的全部纳入问卷调查。</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 消费者问卷调查</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对于产品或服务类强制性国家标准，可同步开展消费者问卷调查，收</w:t>
      </w:r>
      <w:r>
        <w:rPr>
          <w:rFonts w:hint="eastAsia" w:ascii="Times New Roman" w:hAnsi="Times New Roman" w:eastAsia="仿宋_GB2312" w:cs="Times New Roman"/>
          <w:spacing w:val="-6"/>
          <w:sz w:val="32"/>
          <w:szCs w:val="32"/>
          <w:lang w:val="en-US" w:eastAsia="zh-CN"/>
        </w:rPr>
        <w:t>集消费者在购买、使用产品过程中对标准的了解情况。一般情况下，调查消费者的数量应不少于1000人，调查方式可采用网络调查、电话调查等。对于用户为非消费者的产品，比如个体防护装备、社会公共安全产品，调查用户的数量应不少于100个。</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消费者调查问卷参见附件2.3。在实际问卷设计时，可根据实际情况，修改完善调查问卷。</w:t>
      </w:r>
    </w:p>
    <w:p>
      <w:pPr>
        <w:keepNext w:val="0"/>
        <w:keepLines w:val="0"/>
        <w:pageBreakBefore w:val="0"/>
        <w:widowControl w:val="0"/>
        <w:kinsoku/>
        <w:wordWrap/>
        <w:overflowPunct/>
        <w:topLinePunct w:val="0"/>
        <w:autoSpaceDE/>
        <w:autoSpaceDN/>
        <w:bidi w:val="0"/>
        <w:adjustRightInd/>
        <w:snapToGrid/>
        <w:spacing w:line="594" w:lineRule="exact"/>
        <w:ind w:firstLine="620"/>
        <w:textAlignment w:val="auto"/>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（三）座谈调研</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针对标准适用性、协调性及实施制约因素等，与实施监督部门、组织起草部门、标准化技术委员会、行业协会、检测认证机构、企业代表开展座谈，重点调研内容包括但不限于：</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（1）标准所处领域、行业、产业链的发展现状和趋势，当前行业出现的新情况、新问题、新需求，标准适用范围的全面性和匹配度；</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（2）标准总体实施情况和存在的问题；</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（3）标准实施前后行业发展的变化，取得的主要成效；</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（4）未达标企业面临的主要困难，以及制约因素；</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（5）标准体系建设及改进情况；</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pacing w:val="-11"/>
          <w:sz w:val="32"/>
          <w:szCs w:val="32"/>
          <w:lang w:val="en-US" w:eastAsia="zh-CN"/>
        </w:rPr>
        <w:t>标准技术指标覆盖的全面性，技术要求的先进性、合理性；</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（7）与标准实施相关的配套标准情况；</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（8）与标准相</w:t>
      </w:r>
      <w:r>
        <w:rPr>
          <w:rFonts w:hint="default" w:ascii="Times New Roman" w:hAnsi="Times New Roman" w:eastAsia="仿宋_GB2312" w:cs="Times New Roman"/>
          <w:sz w:val="32"/>
          <w:szCs w:val="32"/>
        </w:rPr>
        <w:t>关</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法律法规、部门规章</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产业政策的</w:t>
      </w:r>
      <w:r>
        <w:rPr>
          <w:rFonts w:hint="eastAsia" w:ascii="Times New Roman" w:hAnsi="Times New Roman" w:eastAsia="仿宋_GB2312" w:cs="Times New Roman"/>
          <w:sz w:val="32"/>
          <w:szCs w:val="32"/>
          <w:lang w:val="en-US" w:eastAsia="zh-CN"/>
        </w:rPr>
        <w:t>新制定或修订情况；</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（9）对强化标准实施或更新升级标准的措施建议。</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 w:cs="Times New Roman"/>
          <w:sz w:val="32"/>
          <w:szCs w:val="32"/>
          <w:lang w:val="en-US" w:eastAsia="zh-CN"/>
        </w:rPr>
        <w:t>（四）数据分析</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针对标准实施信息收集、座谈调研和问卷调查获得的数据，充分</w:t>
      </w:r>
      <w:r>
        <w:rPr>
          <w:rFonts w:hint="eastAsia" w:ascii="Times New Roman" w:hAnsi="Times New Roman" w:eastAsia="仿宋_GB2312" w:cs="Times New Roman"/>
          <w:color w:val="auto"/>
          <w:kern w:val="2"/>
          <w:sz w:val="32"/>
          <w:szCs w:val="32"/>
        </w:rPr>
        <w:t>考虑行业</w:t>
      </w:r>
      <w:r>
        <w:rPr>
          <w:rFonts w:hint="eastAsia" w:ascii="Times New Roman" w:hAnsi="Times New Roman" w:eastAsia="仿宋_GB2312" w:cs="Times New Roman"/>
          <w:color w:val="auto"/>
          <w:kern w:val="2"/>
          <w:sz w:val="32"/>
          <w:szCs w:val="32"/>
          <w:lang w:val="en-US" w:eastAsia="zh-CN"/>
        </w:rPr>
        <w:t>特点</w:t>
      </w:r>
      <w:r>
        <w:rPr>
          <w:rFonts w:hint="eastAsia" w:ascii="Times New Roman" w:hAnsi="Times New Roman" w:eastAsia="仿宋_GB2312" w:cs="Times New Roman"/>
          <w:color w:val="auto"/>
          <w:kern w:val="2"/>
          <w:sz w:val="32"/>
          <w:szCs w:val="32"/>
        </w:rPr>
        <w:t>、领域</w:t>
      </w:r>
      <w:r>
        <w:rPr>
          <w:rFonts w:hint="eastAsia" w:ascii="Times New Roman" w:hAnsi="Times New Roman" w:eastAsia="仿宋_GB2312" w:cs="Times New Roman"/>
          <w:color w:val="auto"/>
          <w:kern w:val="2"/>
          <w:sz w:val="32"/>
          <w:szCs w:val="32"/>
          <w:lang w:val="en-US" w:eastAsia="zh-CN"/>
        </w:rPr>
        <w:t>特色和产业集群等情况，重点针对</w:t>
      </w:r>
      <w:r>
        <w:rPr>
          <w:rFonts w:hint="eastAsia" w:ascii="Times New Roman" w:hAnsi="Times New Roman" w:eastAsia="仿宋_GB2312" w:cs="Times New Roman"/>
          <w:color w:val="auto"/>
          <w:kern w:val="2"/>
          <w:sz w:val="32"/>
          <w:szCs w:val="32"/>
        </w:rPr>
        <w:t>标准的</w:t>
      </w:r>
      <w:r>
        <w:rPr>
          <w:rFonts w:hint="eastAsia" w:ascii="Times New Roman" w:hAnsi="Times New Roman" w:eastAsia="仿宋_GB2312" w:cs="Times New Roman"/>
          <w:color w:val="auto"/>
          <w:kern w:val="2"/>
          <w:sz w:val="32"/>
          <w:szCs w:val="32"/>
          <w:lang w:val="en-US" w:eastAsia="zh-CN"/>
        </w:rPr>
        <w:t>执</w:t>
      </w:r>
      <w:r>
        <w:rPr>
          <w:rFonts w:hint="eastAsia" w:ascii="Times New Roman" w:hAnsi="Times New Roman" w:eastAsia="仿宋_GB2312" w:cs="Times New Roman"/>
          <w:sz w:val="32"/>
          <w:szCs w:val="32"/>
        </w:rPr>
        <w:t>行</w:t>
      </w:r>
      <w:r>
        <w:rPr>
          <w:rFonts w:hint="eastAsia" w:ascii="Times New Roman" w:hAnsi="Times New Roman" w:eastAsia="仿宋_GB2312" w:cs="Times New Roman"/>
          <w:sz w:val="32"/>
          <w:szCs w:val="32"/>
          <w:lang w:eastAsia="zh-CN"/>
        </w:rPr>
        <w:t>情况</w:t>
      </w:r>
      <w:r>
        <w:rPr>
          <w:rFonts w:hint="eastAsia" w:ascii="Times New Roman" w:hAnsi="Times New Roman" w:eastAsia="仿宋_GB2312" w:cs="Times New Roman"/>
          <w:sz w:val="32"/>
          <w:szCs w:val="32"/>
        </w:rPr>
        <w:t>、达标</w:t>
      </w:r>
      <w:r>
        <w:rPr>
          <w:rFonts w:hint="eastAsia" w:ascii="Times New Roman" w:hAnsi="Times New Roman" w:eastAsia="仿宋_GB2312" w:cs="Times New Roman"/>
          <w:sz w:val="32"/>
          <w:szCs w:val="32"/>
          <w:lang w:eastAsia="zh-CN"/>
        </w:rPr>
        <w:t>情况、</w:t>
      </w:r>
      <w:r>
        <w:rPr>
          <w:rFonts w:hint="eastAsia" w:ascii="Times New Roman" w:hAnsi="Times New Roman" w:eastAsia="仿宋_GB2312" w:cs="Times New Roman"/>
          <w:sz w:val="32"/>
          <w:szCs w:val="32"/>
        </w:rPr>
        <w:t>实施</w:t>
      </w:r>
      <w:r>
        <w:rPr>
          <w:rFonts w:hint="eastAsia" w:ascii="Times New Roman" w:hAnsi="Times New Roman" w:eastAsia="仿宋_GB2312" w:cs="Times New Roman"/>
          <w:sz w:val="32"/>
          <w:szCs w:val="32"/>
          <w:lang w:val="en-US" w:eastAsia="zh-CN"/>
        </w:rPr>
        <w:t>成效以及标准的</w:t>
      </w:r>
      <w:r>
        <w:rPr>
          <w:rFonts w:hint="eastAsia" w:ascii="Times New Roman" w:hAnsi="Times New Roman" w:eastAsia="仿宋_GB2312" w:cs="Times New Roman"/>
          <w:sz w:val="32"/>
          <w:szCs w:val="32"/>
        </w:rPr>
        <w:t>适用性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协调性</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标准实施制约因素等开展分析。</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w:t>
      </w:r>
      <w:r>
        <w:rPr>
          <w:rFonts w:hint="eastAsia" w:ascii="Times New Roman" w:hAnsi="Times New Roman" w:cs="Times New Roman"/>
          <w:b/>
          <w:bCs/>
          <w:sz w:val="32"/>
          <w:szCs w:val="32"/>
          <w:lang w:val="en-US" w:eastAsia="zh-CN"/>
        </w:rPr>
        <w:t xml:space="preserve"> </w:t>
      </w:r>
      <w:r>
        <w:rPr>
          <w:rFonts w:hint="eastAsia" w:ascii="Times New Roman" w:hAnsi="Times New Roman" w:eastAsia="仿宋_GB2312" w:cs="Times New Roman"/>
          <w:b/>
          <w:bCs/>
          <w:sz w:val="32"/>
          <w:szCs w:val="32"/>
          <w:lang w:val="en-US" w:eastAsia="zh-CN"/>
        </w:rPr>
        <w:t>定量分析</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重点围绕执行情况、达标情况以及实施成效等方面开展定量分析。</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执行情况。主要通过座谈调研、问卷调查等方式获取执行该标准的企业数量情况，可采用执行该标准的企业数量占受调查企业数量的比例反映标准执行情况。</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达标情况。主要通过座谈调研、问卷调查、监督抽查等方式获取满足该标准的企业（或产品）数量情况，可采用满足该标准的企业（或产品）数量占调查企业（或产品）数量的比例反映达标情况，也可直接采用国务院有关部门或地方人民政府有关部门发布的监督抽查数据反映达标情况。</w:t>
      </w:r>
    </w:p>
    <w:p>
      <w:pPr>
        <w:pStyle w:val="8"/>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（3）实施成效。结合标准实施信息收集、座谈调研、问卷调查获取的数据，针对具体指标，重点评估标准实施取得的经济效益、社会效益和生态效益，并将标准实施前数据和实施后的最新数据作对比分析。</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 定性分析</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定性分析重点围绕标准的适用性、协调性、标准实施制约因素等不易量化指标开展，识别标准在实施和技术内容方面存在的问题，并提出强化标准实施、更新升级标准、完善配套标准、加强标准化技术服务等方面的意见建议。</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2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标准适用性方面。结合收集到的标准资料、标准实施信息以及座谈调研、问卷调查获取的有关信息，重点识别标准适用范围、技术内容、配套标准等方面存在的问题。</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（2）标准协调性方面。结合座谈调研、现场调研获取的有关信息，重点分析该标准与相关法律法规、部门规章、产业政策、其它强制性标准的协调性配套性情况，识别不协调不一致方面的问题。</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标准实施制约因素方面。梳理市场准入、监督执法、缺陷产品召回、检测认证等方面数据，获取不达标的企业名单。通过座谈调研、现场调研、问卷调查等方式，识别导致企业或产品未达标的主要原因和因素。</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（五）数据质量控制</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为保证统计分析结果的质量，</w:t>
      </w:r>
      <w:r>
        <w:rPr>
          <w:rFonts w:hint="default" w:ascii="Times New Roman" w:hAnsi="Times New Roman" w:eastAsia="仿宋_GB2312" w:cs="Times New Roman"/>
          <w:sz w:val="32"/>
          <w:szCs w:val="32"/>
          <w:lang w:eastAsia="zh-CN"/>
        </w:rPr>
        <w:t>在数据收集和统计分析时，应确保数据的代表性、准确性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时效性</w:t>
      </w:r>
      <w:r>
        <w:rPr>
          <w:rFonts w:hint="eastAsia" w:ascii="Times New Roman" w:hAnsi="Times New Roman" w:eastAsia="仿宋_GB2312" w:cs="Times New Roman"/>
          <w:sz w:val="32"/>
          <w:szCs w:val="32"/>
          <w:lang w:eastAsia="zh-CN"/>
        </w:rPr>
        <w:t>和安全性</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数据的代表性。样本数据应覆盖东部、中部、西部、东北等不同区域或者本地区内的主要产业集聚区。原则上应包括大型、中型、小型、微型等不同规模企业的数据，以及国企、民企、外资企业等不同类型企业的数据；</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数据的准确性。在数据收集、数据录入、数据分析全过程中，应确保数据的准确无误，做到采集过程记录详细、数据来源可追溯、录入已核对、报告已审核。</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数据的时效性。原则上标准实施成效数据应为标准实施以来的数据，包括上一自然年度的最新数据；来自不同企业的数据应为同一年度的数据。</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数据的安全性。应建立保障数据安全的制度机制，对采集到的数据进行专门存储、安全通道传递，提高数据流动的安全度。</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四、统计分析报告</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eastAsia="zh-CN"/>
        </w:rPr>
      </w:pPr>
      <w:r>
        <w:rPr>
          <w:rFonts w:hint="eastAsia" w:ascii="楷体" w:hAnsi="楷体" w:eastAsia="楷体" w:cs="楷体"/>
          <w:sz w:val="32"/>
          <w:szCs w:val="32"/>
          <w:lang w:val="en-US" w:eastAsia="zh-CN"/>
        </w:rPr>
        <w:t>（一）统计分析报告内容</w:t>
      </w:r>
      <w:r>
        <w:rPr>
          <w:rFonts w:hint="eastAsia" w:ascii="Times New Roman" w:hAnsi="Times New Roman" w:eastAsia="仿宋_GB2312" w:cs="Times New Roman"/>
          <w:sz w:val="32"/>
          <w:szCs w:val="32"/>
          <w:lang w:val="en-US" w:eastAsia="zh-CN"/>
        </w:rPr>
        <w:t>。经过对</w:t>
      </w:r>
      <w:r>
        <w:rPr>
          <w:rFonts w:hint="default" w:ascii="Times New Roman" w:hAnsi="Times New Roman" w:eastAsia="仿宋_GB2312" w:cs="Times New Roman"/>
          <w:sz w:val="32"/>
          <w:szCs w:val="32"/>
          <w:lang w:eastAsia="zh-CN"/>
        </w:rPr>
        <w:t>标准执行情况、适用性、协调性、</w:t>
      </w:r>
      <w:r>
        <w:rPr>
          <w:rFonts w:hint="eastAsia" w:ascii="Times New Roman" w:hAnsi="Times New Roman" w:eastAsia="仿宋_GB2312" w:cs="Times New Roman"/>
          <w:sz w:val="32"/>
          <w:szCs w:val="32"/>
          <w:lang w:eastAsia="zh-CN"/>
        </w:rPr>
        <w:t>制约因素、</w:t>
      </w:r>
      <w:r>
        <w:rPr>
          <w:rFonts w:hint="default" w:ascii="Times New Roman" w:hAnsi="Times New Roman" w:eastAsia="仿宋_GB2312" w:cs="Times New Roman"/>
          <w:sz w:val="32"/>
          <w:szCs w:val="32"/>
          <w:lang w:eastAsia="zh-CN"/>
        </w:rPr>
        <w:t>实施</w:t>
      </w:r>
      <w:r>
        <w:rPr>
          <w:rFonts w:hint="eastAsia" w:ascii="Times New Roman" w:hAnsi="Times New Roman" w:eastAsia="仿宋_GB2312" w:cs="Times New Roman"/>
          <w:sz w:val="32"/>
          <w:szCs w:val="32"/>
          <w:lang w:val="en-US" w:eastAsia="zh-CN"/>
        </w:rPr>
        <w:t>成效</w:t>
      </w:r>
      <w:r>
        <w:rPr>
          <w:rFonts w:hint="default" w:ascii="Times New Roman" w:hAnsi="Times New Roman" w:eastAsia="仿宋_GB2312" w:cs="Times New Roman"/>
          <w:sz w:val="32"/>
          <w:szCs w:val="32"/>
          <w:lang w:eastAsia="zh-CN"/>
        </w:rPr>
        <w:t>等</w:t>
      </w:r>
      <w:r>
        <w:rPr>
          <w:rFonts w:hint="eastAsia" w:ascii="Times New Roman" w:hAnsi="Times New Roman" w:eastAsia="仿宋_GB2312" w:cs="Times New Roman"/>
          <w:sz w:val="32"/>
          <w:szCs w:val="32"/>
          <w:lang w:eastAsia="zh-CN"/>
        </w:rPr>
        <w:t>方面</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eastAsia="zh-CN"/>
        </w:rPr>
        <w:t>信息</w:t>
      </w:r>
      <w:r>
        <w:rPr>
          <w:rFonts w:hint="eastAsia" w:ascii="Times New Roman" w:hAnsi="Times New Roman" w:eastAsia="仿宋_GB2312" w:cs="Times New Roman"/>
          <w:sz w:val="32"/>
          <w:szCs w:val="32"/>
          <w:lang w:val="en-US" w:eastAsia="zh-CN"/>
        </w:rPr>
        <w:t>收集</w:t>
      </w:r>
      <w:r>
        <w:rPr>
          <w:rFonts w:hint="eastAsia" w:ascii="Times New Roman" w:hAnsi="Times New Roman" w:eastAsia="仿宋_GB2312" w:cs="Times New Roman"/>
          <w:sz w:val="32"/>
          <w:szCs w:val="32"/>
          <w:lang w:eastAsia="zh-CN"/>
        </w:rPr>
        <w:t>及数据</w:t>
      </w:r>
      <w:r>
        <w:rPr>
          <w:rFonts w:hint="eastAsia" w:ascii="Times New Roman" w:hAnsi="Times New Roman" w:eastAsia="仿宋_GB2312" w:cs="Times New Roman"/>
          <w:sz w:val="32"/>
          <w:szCs w:val="32"/>
          <w:lang w:val="en-US" w:eastAsia="zh-CN"/>
        </w:rPr>
        <w:t>统计分析，按年度</w:t>
      </w:r>
      <w:r>
        <w:rPr>
          <w:rFonts w:hint="default" w:ascii="Times New Roman" w:hAnsi="Times New Roman" w:eastAsia="仿宋_GB2312" w:cs="Times New Roman"/>
          <w:sz w:val="32"/>
          <w:szCs w:val="32"/>
          <w:lang w:eastAsia="zh-CN"/>
        </w:rPr>
        <w:t>形成强制性国家标准实施情况统计分析报告</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统计分析报告应包括</w:t>
      </w:r>
      <w:r>
        <w:rPr>
          <w:rFonts w:hint="default" w:ascii="Times New Roman" w:hAnsi="Times New Roman" w:eastAsia="仿宋_GB2312" w:cs="Times New Roman"/>
          <w:sz w:val="32"/>
          <w:szCs w:val="32"/>
          <w:lang w:eastAsia="zh-CN"/>
        </w:rPr>
        <w:t>强制性国家标准实施情况总体评估以及具体实施效果、存在的问题、改进建议等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内容框架见附件</w:t>
      </w:r>
      <w:r>
        <w:rPr>
          <w:rFonts w:hint="eastAsia" w:ascii="Times New Roman" w:hAnsi="Times New Roman" w:cs="Times New Roman"/>
          <w:sz w:val="32"/>
          <w:szCs w:val="32"/>
          <w:lang w:val="en-US" w:eastAsia="zh-CN"/>
        </w:rPr>
        <w:t>2.1</w:t>
      </w:r>
      <w:r>
        <w:rPr>
          <w:rFonts w:hint="eastAsia" w:ascii="Times New Roman" w:hAnsi="Times New Roman" w:eastAsia="仿宋_GB2312" w:cs="Times New Roman"/>
          <w:sz w:val="32"/>
          <w:szCs w:val="32"/>
          <w:lang w:eastAsia="zh-CN"/>
        </w:rPr>
        <w:t>。</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highlight w:val="none"/>
          <w:lang w:val="en-US" w:eastAsia="zh-CN"/>
        </w:rPr>
      </w:pPr>
      <w:r>
        <w:rPr>
          <w:rFonts w:hint="eastAsia" w:ascii="楷体" w:hAnsi="楷体" w:eastAsia="楷体" w:cs="楷体"/>
          <w:sz w:val="32"/>
          <w:szCs w:val="32"/>
          <w:highlight w:val="none"/>
          <w:lang w:eastAsia="zh-CN"/>
        </w:rPr>
        <w:t>（二）统计分析报告要求</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统计分析报告</w:t>
      </w:r>
      <w:r>
        <w:rPr>
          <w:rFonts w:hint="eastAsia" w:ascii="Times New Roman" w:hAnsi="Times New Roman" w:eastAsia="仿宋_GB2312" w:cs="Times New Roman"/>
          <w:sz w:val="32"/>
          <w:szCs w:val="32"/>
          <w:highlight w:val="none"/>
          <w:lang w:val="en-US" w:eastAsia="zh-CN"/>
        </w:rPr>
        <w:t>应</w:t>
      </w:r>
      <w:r>
        <w:rPr>
          <w:rFonts w:hint="default" w:ascii="Times New Roman" w:hAnsi="Times New Roman" w:eastAsia="仿宋_GB2312" w:cs="Times New Roman"/>
          <w:sz w:val="32"/>
          <w:szCs w:val="32"/>
          <w:highlight w:val="none"/>
          <w:lang w:eastAsia="zh-CN"/>
        </w:rPr>
        <w:t>内容</w:t>
      </w:r>
      <w:r>
        <w:rPr>
          <w:rFonts w:hint="eastAsia" w:ascii="Times New Roman" w:hAnsi="Times New Roman" w:eastAsia="仿宋_GB2312" w:cs="Times New Roman"/>
          <w:sz w:val="32"/>
          <w:szCs w:val="32"/>
          <w:highlight w:val="none"/>
          <w:lang w:val="en-US" w:eastAsia="zh-CN"/>
        </w:rPr>
        <w:t>全面、重点突出，报告总体结论的表述应清晰、明了，并与报告各章节前后呼应；所提建议应充分结合领域、行业、产业的发展趋势和特点，具有针对性、可操作性，可以为强化标准实施、提升标准水平提供支持。</w:t>
      </w:r>
    </w:p>
    <w:p>
      <w:pPr>
        <w:pStyle w:val="8"/>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仿宋_GB2312" w:cs="Times New Roman"/>
          <w:sz w:val="32"/>
          <w:szCs w:val="32"/>
          <w:highlight w:val="none"/>
          <w:lang w:val="en-US" w:eastAsia="zh-CN"/>
        </w:rPr>
      </w:pPr>
      <w:r>
        <w:rPr>
          <w:rFonts w:hint="eastAsia" w:ascii="楷体" w:hAnsi="楷体" w:eastAsia="楷体" w:cs="楷体"/>
          <w:sz w:val="32"/>
          <w:szCs w:val="32"/>
          <w:highlight w:val="none"/>
          <w:lang w:val="en-US" w:eastAsia="zh-CN"/>
        </w:rPr>
        <w:t>（三）统计分析报告报送渠道</w:t>
      </w:r>
      <w:r>
        <w:rPr>
          <w:rFonts w:hint="eastAsia" w:ascii="Times New Roman" w:hAnsi="Times New Roman" w:eastAsia="仿宋_GB2312" w:cs="Times New Roman"/>
          <w:sz w:val="32"/>
          <w:szCs w:val="32"/>
          <w:highlight w:val="none"/>
          <w:lang w:val="en-US" w:eastAsia="zh-CN"/>
        </w:rPr>
        <w:t>。形成统计分析报告后，将纸质件报送国务院标准化行政主管部门，同时通过强制性国家标准实施情况统计分析业务管理平台（网址：http://zxd.sacinfo.org.cn/qbstat）上传统计分析报告（盖章版及word版）、统计分析数据等材料。</w:t>
      </w:r>
    </w:p>
    <w:p>
      <w:pPr>
        <w:spacing w:line="240" w:lineRule="auto"/>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2.1</w:t>
      </w: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rPr>
        <w:t>强制性国家标准实施情况</w:t>
      </w:r>
    </w:p>
    <w:p>
      <w:pPr>
        <w:keepNext w:val="0"/>
        <w:keepLines w:val="0"/>
        <w:pageBreakBefore w:val="0"/>
        <w:widowControl w:val="0"/>
        <w:kinsoku/>
        <w:wordWrap/>
        <w:overflowPunct/>
        <w:topLinePunct w:val="0"/>
        <w:autoSpaceDE/>
        <w:autoSpaceDN/>
        <w:bidi w:val="0"/>
        <w:adjustRightInd/>
        <w:snapToGrid/>
        <w:spacing w:line="264" w:lineRule="auto"/>
        <w:ind w:firstLine="0" w:firstLineChars="0"/>
        <w:jc w:val="center"/>
        <w:textAlignment w:val="auto"/>
        <w:rPr>
          <w:rFonts w:hint="default" w:ascii="Times New Roman" w:hAnsi="Times New Roman" w:eastAsia="黑体" w:cs="Times New Roman"/>
          <w:sz w:val="52"/>
          <w:szCs w:val="52"/>
        </w:rPr>
      </w:pPr>
      <w:r>
        <w:rPr>
          <w:rFonts w:hint="default" w:ascii="Times New Roman" w:hAnsi="Times New Roman" w:eastAsia="黑体" w:cs="Times New Roman"/>
          <w:sz w:val="52"/>
          <w:szCs w:val="52"/>
        </w:rPr>
        <w:t>统计分析报告</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eastAsia="楷体" w:cs="Times New Roman"/>
          <w:sz w:val="36"/>
          <w:szCs w:val="36"/>
          <w:u w:val="single"/>
          <w:lang w:val="en-US" w:eastAsia="zh-CN"/>
        </w:rPr>
      </w:pPr>
      <w:r>
        <w:rPr>
          <w:rFonts w:hint="eastAsia" w:ascii="Times New Roman" w:hAnsi="Times New Roman" w:eastAsia="楷体" w:cs="Times New Roman"/>
          <w:sz w:val="36"/>
          <w:szCs w:val="36"/>
          <w:lang w:eastAsia="zh-CN"/>
        </w:rPr>
        <w:t>标准</w:t>
      </w:r>
      <w:r>
        <w:rPr>
          <w:rFonts w:hint="default" w:ascii="Times New Roman" w:hAnsi="Times New Roman" w:eastAsia="楷体" w:cs="Times New Roman"/>
          <w:sz w:val="36"/>
          <w:szCs w:val="36"/>
          <w:lang w:eastAsia="zh-CN"/>
        </w:rPr>
        <w:t>名称</w:t>
      </w:r>
      <w:r>
        <w:rPr>
          <w:rFonts w:hint="eastAsia" w:ascii="Times New Roman" w:hAnsi="Times New Roman" w:eastAsia="楷体" w:cs="Times New Roman"/>
          <w:sz w:val="36"/>
          <w:szCs w:val="36"/>
          <w:lang w:eastAsia="zh-CN"/>
        </w:rPr>
        <w:t>及标准号</w:t>
      </w:r>
      <w:r>
        <w:rPr>
          <w:rFonts w:hint="default" w:ascii="Times New Roman" w:hAnsi="Times New Roman" w:eastAsia="楷体" w:cs="Times New Roman"/>
          <w:b w:val="0"/>
          <w:bCs w:val="0"/>
          <w:sz w:val="36"/>
          <w:szCs w:val="36"/>
          <w:u w:val="none"/>
          <w:lang w:eastAsia="zh-CN"/>
        </w:rPr>
        <w:t>：</w:t>
      </w:r>
      <w:r>
        <w:rPr>
          <w:rFonts w:hint="default" w:ascii="Times New Roman" w:hAnsi="Times New Roman" w:eastAsia="楷体" w:cs="Times New Roman"/>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eastAsia="楷体" w:cs="Times New Roman"/>
          <w:sz w:val="36"/>
          <w:szCs w:val="36"/>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eastAsia" w:ascii="Times New Roman" w:hAnsi="Times New Roman" w:eastAsia="楷体" w:cs="Times New Roman"/>
          <w:sz w:val="36"/>
          <w:szCs w:val="36"/>
          <w:u w:val="single"/>
          <w:lang w:eastAsia="zh-CN"/>
        </w:rPr>
      </w:pPr>
      <w:r>
        <w:rPr>
          <w:rFonts w:hint="default" w:ascii="Times New Roman" w:hAnsi="Times New Roman" w:eastAsia="楷体" w:cs="Times New Roman"/>
          <w:sz w:val="36"/>
          <w:szCs w:val="36"/>
          <w:u w:val="none"/>
          <w:lang w:eastAsia="zh-CN"/>
        </w:rPr>
        <w:t>标准</w:t>
      </w:r>
      <w:r>
        <w:rPr>
          <w:rFonts w:hint="eastAsia" w:ascii="Times New Roman" w:hAnsi="Times New Roman" w:eastAsia="楷体" w:cs="Times New Roman"/>
          <w:sz w:val="36"/>
          <w:szCs w:val="36"/>
          <w:u w:val="none"/>
          <w:lang w:eastAsia="zh-CN"/>
        </w:rPr>
        <w:t>组织起草</w:t>
      </w:r>
      <w:r>
        <w:rPr>
          <w:rFonts w:hint="default" w:ascii="Times New Roman" w:hAnsi="Times New Roman" w:eastAsia="楷体" w:cs="Times New Roman"/>
          <w:sz w:val="36"/>
          <w:szCs w:val="36"/>
          <w:u w:val="none"/>
          <w:lang w:eastAsia="zh-CN"/>
        </w:rPr>
        <w:t>部门</w:t>
      </w:r>
      <w:r>
        <w:rPr>
          <w:rFonts w:hint="default" w:ascii="Times New Roman" w:hAnsi="Times New Roman" w:eastAsia="楷体" w:cs="Times New Roman"/>
          <w:b w:val="0"/>
          <w:bCs w:val="0"/>
          <w:sz w:val="36"/>
          <w:szCs w:val="36"/>
          <w:u w:val="none"/>
          <w:lang w:eastAsia="zh-CN"/>
        </w:rPr>
        <w:t>：</w:t>
      </w:r>
      <w:r>
        <w:rPr>
          <w:rFonts w:hint="default" w:ascii="Times New Roman" w:hAnsi="Times New Roman" w:eastAsia="楷体" w:cs="Times New Roman"/>
          <w:sz w:val="36"/>
          <w:szCs w:val="36"/>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textAlignment w:val="auto"/>
        <w:rPr>
          <w:rFonts w:hint="default" w:ascii="Times New Roman" w:hAnsi="Times New Roman" w:eastAsia="楷体" w:cs="Times New Roman"/>
          <w:sz w:val="36"/>
          <w:szCs w:val="36"/>
          <w:u w:val="single"/>
          <w:lang w:val="en-US" w:eastAsia="zh-CN"/>
        </w:rPr>
      </w:pPr>
      <w:r>
        <w:rPr>
          <w:rFonts w:hint="eastAsia" w:ascii="Times New Roman" w:hAnsi="Times New Roman" w:eastAsia="楷体" w:cs="Times New Roman"/>
          <w:sz w:val="36"/>
          <w:szCs w:val="36"/>
          <w:highlight w:val="none"/>
          <w:lang w:val="en-US" w:eastAsia="zh-CN"/>
        </w:rPr>
        <w:t>统计分析</w:t>
      </w:r>
      <w:r>
        <w:rPr>
          <w:rFonts w:hint="default" w:ascii="Times New Roman" w:hAnsi="Times New Roman" w:eastAsia="楷体" w:cs="Times New Roman"/>
          <w:sz w:val="36"/>
          <w:szCs w:val="36"/>
          <w:lang w:eastAsia="zh-CN"/>
        </w:rPr>
        <w:t>机构</w:t>
      </w:r>
      <w:r>
        <w:rPr>
          <w:rFonts w:hint="eastAsia" w:ascii="Times New Roman" w:hAnsi="Times New Roman" w:eastAsia="楷体" w:cs="Times New Roman"/>
          <w:sz w:val="36"/>
          <w:szCs w:val="36"/>
          <w:lang w:eastAsia="zh-CN"/>
        </w:rPr>
        <w:t>名称</w:t>
      </w:r>
      <w:r>
        <w:rPr>
          <w:rFonts w:hint="default" w:ascii="Times New Roman" w:hAnsi="Times New Roman" w:eastAsia="楷体" w:cs="Times New Roman"/>
          <w:sz w:val="36"/>
          <w:szCs w:val="36"/>
          <w:lang w:eastAsia="zh-CN"/>
        </w:rPr>
        <w:t>：</w:t>
      </w:r>
      <w:r>
        <w:rPr>
          <w:rFonts w:hint="default" w:ascii="Times New Roman" w:hAnsi="Times New Roman" w:eastAsia="楷体" w:cs="Times New Roman"/>
          <w:sz w:val="36"/>
          <w:szCs w:val="36"/>
          <w:u w:val="single"/>
          <w:lang w:val="en-US" w:eastAsia="zh-CN"/>
        </w:rPr>
        <w:t xml:space="preserve">                     </w:t>
      </w:r>
      <w:r>
        <w:rPr>
          <w:rFonts w:hint="eastAsia" w:ascii="Times New Roman" w:hAnsi="Times New Roman" w:eastAsia="楷体" w:cs="Times New Roman"/>
          <w:sz w:val="36"/>
          <w:szCs w:val="36"/>
          <w:u w:val="single"/>
          <w:lang w:val="en-US" w:eastAsia="zh-CN"/>
        </w:rPr>
        <w:t xml:space="preserve"> </w:t>
      </w:r>
      <w:r>
        <w:rPr>
          <w:rFonts w:hint="default" w:ascii="Times New Roman" w:hAnsi="Times New Roman" w:eastAsia="楷体" w:cs="Times New Roman"/>
          <w:sz w:val="36"/>
          <w:szCs w:val="36"/>
          <w:u w:val="single"/>
          <w:lang w:val="en-US" w:eastAsia="zh-CN"/>
        </w:rPr>
        <w:t xml:space="preserve">   </w:t>
      </w:r>
    </w:p>
    <w:p>
      <w:pPr>
        <w:spacing w:line="594" w:lineRule="exact"/>
        <w:ind w:firstLine="636"/>
        <w:rPr>
          <w:rFonts w:hint="default" w:ascii="Times New Roman" w:hAnsi="Times New Roman" w:eastAsia="仿宋_GB2312" w:cs="Times New Roman"/>
          <w:sz w:val="44"/>
          <w:szCs w:val="44"/>
          <w:u w:val="single"/>
          <w:lang w:val="en-US" w:eastAsia="zh-CN"/>
        </w:rPr>
      </w:pPr>
    </w:p>
    <w:p>
      <w:pPr>
        <w:spacing w:line="594" w:lineRule="exact"/>
        <w:rPr>
          <w:rFonts w:hint="default" w:ascii="Times New Roman" w:hAnsi="Times New Roman" w:eastAsia="仿宋_GB2312" w:cs="Times New Roman"/>
          <w:sz w:val="32"/>
          <w:szCs w:val="32"/>
        </w:rPr>
      </w:pPr>
    </w:p>
    <w:p>
      <w:pPr>
        <w:spacing w:line="594" w:lineRule="exact"/>
        <w:rPr>
          <w:rFonts w:hint="default" w:ascii="Times New Roman" w:hAnsi="Times New Roman" w:eastAsia="仿宋_GB2312" w:cs="Times New Roman"/>
          <w:sz w:val="32"/>
          <w:szCs w:val="32"/>
        </w:rPr>
      </w:pPr>
    </w:p>
    <w:p>
      <w:pPr>
        <w:spacing w:line="594" w:lineRule="exact"/>
        <w:jc w:val="center"/>
        <w:rPr>
          <w:rFonts w:hint="default" w:ascii="Times New Roman" w:hAnsi="Times New Roman" w:eastAsia="楷体" w:cs="Times New Roman"/>
          <w:b w:val="0"/>
          <w:bCs/>
          <w:sz w:val="36"/>
          <w:szCs w:val="36"/>
        </w:rPr>
        <w:sectPr>
          <w:headerReference r:id="rId5" w:type="default"/>
          <w:footerReference r:id="rId7" w:type="default"/>
          <w:headerReference r:id="rId6" w:type="even"/>
          <w:footerReference r:id="rId8" w:type="even"/>
          <w:pgSz w:w="11906" w:h="16838"/>
          <w:pgMar w:top="1984" w:right="1474" w:bottom="1644" w:left="1474" w:header="851" w:footer="1191" w:gutter="0"/>
          <w:paperSrc/>
          <w:pgBorders>
            <w:top w:val="none" w:sz="0" w:space="0"/>
            <w:left w:val="none" w:sz="0" w:space="0"/>
            <w:bottom w:val="none" w:sz="0" w:space="0"/>
            <w:right w:val="none" w:sz="0" w:space="0"/>
          </w:pgBorders>
          <w:pgNumType w:fmt="decimal"/>
          <w:cols w:space="720" w:num="1"/>
          <w:rtlGutter w:val="0"/>
          <w:docGrid w:type="linesAndChars" w:linePitch="293" w:charSpace="-2240"/>
        </w:sectPr>
      </w:pPr>
      <w:r>
        <w:rPr>
          <w:rFonts w:hint="default" w:ascii="Times New Roman" w:hAnsi="Times New Roman" w:eastAsia="楷体" w:cs="Times New Roman"/>
          <w:b w:val="0"/>
          <w:bCs/>
          <w:sz w:val="36"/>
          <w:szCs w:val="36"/>
        </w:rPr>
        <w:t>年   月  日</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仿宋_GB2312" w:cs="Times New Roman"/>
          <w:b/>
          <w:sz w:val="44"/>
          <w:szCs w:val="44"/>
        </w:rPr>
      </w:pPr>
      <w:r>
        <w:rPr>
          <w:rFonts w:hint="default" w:ascii="Times New Roman" w:hAnsi="Times New Roman" w:eastAsia="黑体" w:cs="Times New Roman"/>
          <w:b w:val="0"/>
          <w:bCs/>
          <w:sz w:val="36"/>
          <w:szCs w:val="36"/>
          <w:lang w:val="en-US" w:eastAsia="zh-CN"/>
        </w:rPr>
        <w:t>基本信息</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0"/>
        <w:gridCol w:w="1066"/>
        <w:gridCol w:w="211"/>
        <w:gridCol w:w="2049"/>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9" w:type="dxa"/>
            <w:gridSpan w:val="5"/>
            <w:tcBorders>
              <w:tl2br w:val="nil"/>
              <w:tr2bl w:val="nil"/>
            </w:tcBorders>
            <w:noWrap w:val="0"/>
            <w:vAlign w:val="top"/>
          </w:tcPr>
          <w:p>
            <w:pPr>
              <w:spacing w:line="594" w:lineRule="exact"/>
              <w:jc w:val="center"/>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黑体" w:cs="Times New Roman"/>
                <w:b w:val="0"/>
                <w:bCs/>
                <w:sz w:val="28"/>
                <w:szCs w:val="28"/>
                <w:vertAlign w:val="baseline"/>
                <w:lang w:eastAsia="zh-CN"/>
              </w:rPr>
              <w:t>标准基本信息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vMerge w:val="restart"/>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eastAsia="zh-CN"/>
              </w:rPr>
            </w:pPr>
          </w:p>
          <w:p>
            <w:pPr>
              <w:spacing w:line="594" w:lineRule="exact"/>
              <w:jc w:val="both"/>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仿宋_GB2312" w:cs="Times New Roman"/>
                <w:b w:val="0"/>
                <w:bCs/>
                <w:sz w:val="28"/>
                <w:szCs w:val="28"/>
                <w:vertAlign w:val="baseline"/>
                <w:lang w:eastAsia="zh-CN"/>
              </w:rPr>
              <w:t>标准名称和标准号</w:t>
            </w:r>
          </w:p>
          <w:p>
            <w:pPr>
              <w:spacing w:line="594" w:lineRule="exact"/>
              <w:jc w:val="both"/>
              <w:rPr>
                <w:rFonts w:hint="default" w:ascii="Times New Roman" w:hAnsi="Times New Roman" w:eastAsia="仿宋_GB2312" w:cs="Times New Roman"/>
                <w:b w:val="0"/>
                <w:bCs/>
                <w:sz w:val="28"/>
                <w:szCs w:val="28"/>
                <w:vertAlign w:val="baseline"/>
                <w:lang w:eastAsia="zh-CN"/>
              </w:rPr>
            </w:pPr>
            <w:r>
              <w:rPr>
                <w:rFonts w:hint="eastAsia" w:ascii="Times New Roman" w:hAnsi="Times New Roman" w:eastAsia="仿宋_GB2312" w:cs="Times New Roman"/>
                <w:b w:val="0"/>
                <w:bCs/>
                <w:sz w:val="28"/>
                <w:szCs w:val="28"/>
                <w:vertAlign w:val="baseline"/>
                <w:lang w:eastAsia="zh-CN"/>
              </w:rPr>
              <w:t>（一组或单项）</w:t>
            </w:r>
          </w:p>
        </w:tc>
        <w:tc>
          <w:tcPr>
            <w:tcW w:w="1066"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val="en-US" w:eastAsia="zh-CN"/>
              </w:rPr>
            </w:pPr>
            <w:r>
              <w:rPr>
                <w:rFonts w:hint="eastAsia" w:ascii="Times New Roman" w:hAnsi="Times New Roman" w:eastAsia="仿宋_GB2312" w:cs="Times New Roman"/>
                <w:b w:val="0"/>
                <w:bCs/>
                <w:sz w:val="28"/>
                <w:szCs w:val="28"/>
                <w:vertAlign w:val="baseline"/>
                <w:lang w:val="en-US" w:eastAsia="zh-CN"/>
              </w:rPr>
              <w:t>1.</w:t>
            </w:r>
          </w:p>
        </w:tc>
        <w:tc>
          <w:tcPr>
            <w:tcW w:w="4473" w:type="dxa"/>
            <w:gridSpan w:val="3"/>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vMerge w:val="continue"/>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eastAsia="zh-CN"/>
              </w:rPr>
            </w:pPr>
          </w:p>
        </w:tc>
        <w:tc>
          <w:tcPr>
            <w:tcW w:w="1066"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val="en-US" w:eastAsia="zh-CN"/>
              </w:rPr>
            </w:pPr>
            <w:r>
              <w:rPr>
                <w:rFonts w:hint="eastAsia" w:ascii="Times New Roman" w:hAnsi="Times New Roman" w:eastAsia="仿宋_GB2312" w:cs="Times New Roman"/>
                <w:b w:val="0"/>
                <w:bCs/>
                <w:sz w:val="28"/>
                <w:szCs w:val="28"/>
                <w:vertAlign w:val="baseline"/>
                <w:lang w:val="en-US" w:eastAsia="zh-CN"/>
              </w:rPr>
              <w:t>2.</w:t>
            </w:r>
          </w:p>
        </w:tc>
        <w:tc>
          <w:tcPr>
            <w:tcW w:w="4473" w:type="dxa"/>
            <w:gridSpan w:val="3"/>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vMerge w:val="continue"/>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eastAsia="zh-CN"/>
              </w:rPr>
            </w:pPr>
          </w:p>
        </w:tc>
        <w:tc>
          <w:tcPr>
            <w:tcW w:w="1066"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val="en-US" w:eastAsia="zh-CN"/>
              </w:rPr>
            </w:pPr>
            <w:r>
              <w:rPr>
                <w:rFonts w:hint="eastAsia" w:ascii="Times New Roman" w:hAnsi="Times New Roman" w:eastAsia="仿宋_GB2312" w:cs="Times New Roman"/>
                <w:b w:val="0"/>
                <w:bCs/>
                <w:sz w:val="28"/>
                <w:szCs w:val="28"/>
                <w:vertAlign w:val="baseline"/>
                <w:lang w:val="en-US" w:eastAsia="zh-CN"/>
              </w:rPr>
              <w:t>3.</w:t>
            </w:r>
          </w:p>
        </w:tc>
        <w:tc>
          <w:tcPr>
            <w:tcW w:w="4473" w:type="dxa"/>
            <w:gridSpan w:val="3"/>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eastAsia="zh-CN"/>
              </w:rPr>
            </w:pPr>
            <w:r>
              <w:rPr>
                <w:rFonts w:hint="eastAsia" w:ascii="Times New Roman" w:hAnsi="Times New Roman" w:eastAsia="仿宋_GB2312" w:cs="Times New Roman"/>
                <w:b w:val="0"/>
                <w:bCs/>
                <w:sz w:val="28"/>
                <w:szCs w:val="28"/>
                <w:vertAlign w:val="baseline"/>
                <w:lang w:eastAsia="zh-CN"/>
              </w:rPr>
              <w:t>组织起草</w:t>
            </w:r>
            <w:r>
              <w:rPr>
                <w:rFonts w:hint="default" w:ascii="Times New Roman" w:hAnsi="Times New Roman" w:eastAsia="仿宋_GB2312" w:cs="Times New Roman"/>
                <w:b w:val="0"/>
                <w:bCs/>
                <w:sz w:val="28"/>
                <w:szCs w:val="28"/>
                <w:vertAlign w:val="baseline"/>
                <w:lang w:eastAsia="zh-CN"/>
              </w:rPr>
              <w:t>部门</w:t>
            </w:r>
          </w:p>
        </w:tc>
        <w:tc>
          <w:tcPr>
            <w:tcW w:w="5539" w:type="dxa"/>
            <w:gridSpan w:val="4"/>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仿宋_GB2312" w:cs="Times New Roman"/>
                <w:b w:val="0"/>
                <w:bCs/>
                <w:sz w:val="28"/>
                <w:szCs w:val="28"/>
                <w:vertAlign w:val="baseline"/>
                <w:lang w:eastAsia="zh-CN"/>
              </w:rPr>
              <w:t>主要起草单位</w:t>
            </w:r>
          </w:p>
        </w:tc>
        <w:tc>
          <w:tcPr>
            <w:tcW w:w="5539" w:type="dxa"/>
            <w:gridSpan w:val="4"/>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9" w:type="dxa"/>
            <w:gridSpan w:val="5"/>
            <w:tcBorders>
              <w:tl2br w:val="nil"/>
              <w:tr2bl w:val="nil"/>
            </w:tcBorders>
            <w:noWrap w:val="0"/>
            <w:vAlign w:val="top"/>
          </w:tcPr>
          <w:p>
            <w:pPr>
              <w:spacing w:line="594" w:lineRule="exact"/>
              <w:jc w:val="center"/>
              <w:rPr>
                <w:rFonts w:hint="default" w:ascii="Times New Roman" w:hAnsi="Times New Roman" w:eastAsia="仿宋_GB2312" w:cs="Times New Roman"/>
                <w:b w:val="0"/>
                <w:bCs/>
                <w:sz w:val="28"/>
                <w:szCs w:val="28"/>
                <w:vertAlign w:val="baseline"/>
              </w:rPr>
            </w:pPr>
            <w:r>
              <w:rPr>
                <w:rFonts w:hint="eastAsia" w:ascii="Times New Roman" w:hAnsi="Times New Roman" w:eastAsia="黑体" w:cs="Times New Roman"/>
                <w:b w:val="0"/>
                <w:bCs/>
                <w:sz w:val="28"/>
                <w:szCs w:val="28"/>
                <w:vertAlign w:val="baseline"/>
                <w:lang w:val="en-US" w:eastAsia="zh-CN"/>
              </w:rPr>
              <w:t>统计分析</w:t>
            </w:r>
            <w:r>
              <w:rPr>
                <w:rFonts w:hint="eastAsia" w:ascii="Times New Roman" w:hAnsi="Times New Roman" w:eastAsia="黑体" w:cs="Times New Roman"/>
                <w:b w:val="0"/>
                <w:bCs/>
                <w:sz w:val="28"/>
                <w:szCs w:val="28"/>
                <w:vertAlign w:val="baseline"/>
                <w:lang w:eastAsia="zh-CN"/>
              </w:rPr>
              <w:t>机构</w:t>
            </w:r>
            <w:r>
              <w:rPr>
                <w:rFonts w:hint="default" w:ascii="Times New Roman" w:hAnsi="Times New Roman" w:eastAsia="黑体" w:cs="Times New Roman"/>
                <w:b w:val="0"/>
                <w:bCs/>
                <w:sz w:val="28"/>
                <w:szCs w:val="28"/>
                <w:vertAlign w:val="baseline"/>
                <w:lang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仿宋_GB2312" w:cs="Times New Roman"/>
                <w:b w:val="0"/>
                <w:bCs/>
                <w:sz w:val="28"/>
                <w:szCs w:val="28"/>
                <w:vertAlign w:val="baseline"/>
                <w:lang w:eastAsia="zh-CN"/>
              </w:rPr>
              <w:t>机构名称</w:t>
            </w:r>
          </w:p>
        </w:tc>
        <w:tc>
          <w:tcPr>
            <w:tcW w:w="5539" w:type="dxa"/>
            <w:gridSpan w:val="4"/>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仿宋_GB2312" w:cs="Times New Roman"/>
                <w:b w:val="0"/>
                <w:bCs/>
                <w:sz w:val="28"/>
                <w:szCs w:val="28"/>
                <w:vertAlign w:val="baseline"/>
                <w:lang w:eastAsia="zh-CN"/>
              </w:rPr>
              <w:t>机构地址</w:t>
            </w:r>
          </w:p>
        </w:tc>
        <w:tc>
          <w:tcPr>
            <w:tcW w:w="5539" w:type="dxa"/>
            <w:gridSpan w:val="4"/>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仿宋_GB2312" w:cs="Times New Roman"/>
                <w:b w:val="0"/>
                <w:bCs/>
                <w:sz w:val="28"/>
                <w:szCs w:val="28"/>
                <w:vertAlign w:val="baseline"/>
                <w:lang w:eastAsia="zh-CN"/>
              </w:rPr>
              <w:t>机构联系人</w:t>
            </w:r>
          </w:p>
        </w:tc>
        <w:tc>
          <w:tcPr>
            <w:tcW w:w="1277" w:type="dxa"/>
            <w:gridSpan w:val="2"/>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c>
          <w:tcPr>
            <w:tcW w:w="2049" w:type="dxa"/>
            <w:tcBorders>
              <w:tl2br w:val="nil"/>
              <w:tr2bl w:val="nil"/>
            </w:tcBorders>
            <w:noWrap w:val="0"/>
            <w:vAlign w:val="top"/>
          </w:tcPr>
          <w:p>
            <w:pPr>
              <w:spacing w:line="594" w:lineRule="exact"/>
              <w:ind w:left="0" w:leftChars="0" w:firstLine="0" w:firstLineChars="0"/>
              <w:jc w:val="left"/>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仿宋_GB2312" w:cs="Times New Roman"/>
                <w:b w:val="0"/>
                <w:bCs/>
                <w:sz w:val="28"/>
                <w:szCs w:val="28"/>
                <w:vertAlign w:val="baseline"/>
                <w:lang w:eastAsia="zh-CN"/>
              </w:rPr>
              <w:t>联系人电话</w:t>
            </w:r>
          </w:p>
        </w:tc>
        <w:tc>
          <w:tcPr>
            <w:tcW w:w="2213"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仿宋_GB2312" w:cs="Times New Roman"/>
                <w:b w:val="0"/>
                <w:bCs/>
                <w:sz w:val="28"/>
                <w:szCs w:val="28"/>
                <w:vertAlign w:val="baseline"/>
                <w:lang w:eastAsia="zh-CN"/>
              </w:rPr>
              <w:t>报告编制负责人</w:t>
            </w:r>
          </w:p>
        </w:tc>
        <w:tc>
          <w:tcPr>
            <w:tcW w:w="1277" w:type="dxa"/>
            <w:gridSpan w:val="2"/>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c>
          <w:tcPr>
            <w:tcW w:w="2049" w:type="dxa"/>
            <w:tcBorders>
              <w:tl2br w:val="nil"/>
              <w:tr2bl w:val="nil"/>
            </w:tcBorders>
            <w:noWrap w:val="0"/>
            <w:vAlign w:val="top"/>
          </w:tcPr>
          <w:p>
            <w:pPr>
              <w:spacing w:line="594" w:lineRule="exact"/>
              <w:ind w:left="0" w:leftChars="0" w:firstLine="0" w:firstLineChars="0"/>
              <w:jc w:val="left"/>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仿宋_GB2312" w:cs="Times New Roman"/>
                <w:b w:val="0"/>
                <w:bCs/>
                <w:sz w:val="28"/>
                <w:szCs w:val="28"/>
                <w:vertAlign w:val="baseline"/>
                <w:lang w:eastAsia="zh-CN"/>
              </w:rPr>
              <w:t>负责人电话</w:t>
            </w:r>
          </w:p>
        </w:tc>
        <w:tc>
          <w:tcPr>
            <w:tcW w:w="2213"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0"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仿宋_GB2312" w:cs="Times New Roman"/>
                <w:b w:val="0"/>
                <w:bCs/>
                <w:sz w:val="28"/>
                <w:szCs w:val="28"/>
                <w:vertAlign w:val="baseline"/>
                <w:lang w:eastAsia="zh-CN"/>
              </w:rPr>
              <w:t>报告审核人</w:t>
            </w:r>
          </w:p>
        </w:tc>
        <w:tc>
          <w:tcPr>
            <w:tcW w:w="1277" w:type="dxa"/>
            <w:gridSpan w:val="2"/>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c>
          <w:tcPr>
            <w:tcW w:w="2049" w:type="dxa"/>
            <w:tcBorders>
              <w:tl2br w:val="nil"/>
              <w:tr2bl w:val="nil"/>
            </w:tcBorders>
            <w:noWrap w:val="0"/>
            <w:vAlign w:val="top"/>
          </w:tcPr>
          <w:p>
            <w:pPr>
              <w:spacing w:line="594" w:lineRule="exact"/>
              <w:ind w:left="0" w:leftChars="0" w:firstLine="0" w:firstLineChars="0"/>
              <w:jc w:val="left"/>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仿宋_GB2312" w:cs="Times New Roman"/>
                <w:b w:val="0"/>
                <w:bCs/>
                <w:sz w:val="28"/>
                <w:szCs w:val="28"/>
                <w:vertAlign w:val="baseline"/>
                <w:lang w:eastAsia="zh-CN"/>
              </w:rPr>
              <w:t>审核人电话</w:t>
            </w:r>
          </w:p>
        </w:tc>
        <w:tc>
          <w:tcPr>
            <w:tcW w:w="2213" w:type="dxa"/>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9" w:type="dxa"/>
            <w:gridSpan w:val="5"/>
            <w:tcBorders>
              <w:tl2br w:val="nil"/>
              <w:tr2bl w:val="nil"/>
            </w:tcBorders>
            <w:noWrap w:val="0"/>
            <w:vAlign w:val="top"/>
          </w:tcPr>
          <w:p>
            <w:pPr>
              <w:spacing w:line="594" w:lineRule="exact"/>
              <w:jc w:val="center"/>
              <w:rPr>
                <w:rFonts w:hint="default" w:ascii="Times New Roman" w:hAnsi="Times New Roman" w:eastAsia="仿宋_GB2312" w:cs="Times New Roman"/>
                <w:b w:val="0"/>
                <w:bCs/>
                <w:sz w:val="28"/>
                <w:szCs w:val="28"/>
                <w:vertAlign w:val="baseline"/>
                <w:lang w:eastAsia="zh-CN"/>
              </w:rPr>
            </w:pPr>
            <w:r>
              <w:rPr>
                <w:rFonts w:hint="default" w:ascii="Times New Roman" w:hAnsi="Times New Roman" w:eastAsia="黑体" w:cs="Times New Roman"/>
                <w:b w:val="0"/>
                <w:bCs/>
                <w:sz w:val="28"/>
                <w:szCs w:val="28"/>
                <w:vertAlign w:val="baseline"/>
                <w:lang w:eastAsia="zh-CN"/>
              </w:rPr>
              <w:t>统计分析总体结论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jc w:val="center"/>
        </w:trPr>
        <w:tc>
          <w:tcPr>
            <w:tcW w:w="8779" w:type="dxa"/>
            <w:gridSpan w:val="5"/>
            <w:tcBorders>
              <w:tl2br w:val="nil"/>
              <w:tr2bl w:val="nil"/>
            </w:tcBorders>
            <w:noWrap w:val="0"/>
            <w:vAlign w:val="top"/>
          </w:tcPr>
          <w:p>
            <w:pPr>
              <w:spacing w:line="594" w:lineRule="exact"/>
              <w:jc w:val="left"/>
              <w:rPr>
                <w:rFonts w:hint="default" w:ascii="Times New Roman" w:hAnsi="Times New Roman" w:eastAsia="仿宋_GB2312" w:cs="Times New Roman"/>
                <w:b w:val="0"/>
                <w:bCs/>
                <w:sz w:val="28"/>
                <w:szCs w:val="28"/>
                <w:vertAlign w:val="baseline"/>
                <w:lang w:val="en-US" w:eastAsia="zh-CN"/>
              </w:rPr>
            </w:pPr>
            <w:r>
              <w:rPr>
                <w:rFonts w:hint="default" w:ascii="Times New Roman" w:hAnsi="Times New Roman" w:eastAsia="仿宋_GB2312" w:cs="Times New Roman"/>
                <w:b w:val="0"/>
                <w:bCs/>
                <w:sz w:val="28"/>
                <w:szCs w:val="28"/>
                <w:vertAlign w:val="baseline"/>
                <w:lang w:eastAsia="zh-CN"/>
              </w:rPr>
              <w:t>概要性说明统计分析的结论和存在的问题，限</w:t>
            </w:r>
            <w:r>
              <w:rPr>
                <w:rFonts w:hint="default" w:ascii="Times New Roman" w:hAnsi="Times New Roman" w:eastAsia="仿宋_GB2312" w:cs="Times New Roman"/>
                <w:b w:val="0"/>
                <w:bCs/>
                <w:sz w:val="28"/>
                <w:szCs w:val="28"/>
                <w:vertAlign w:val="baseline"/>
                <w:lang w:val="en-US" w:eastAsia="zh-CN"/>
              </w:rPr>
              <w:t>200字。</w:t>
            </w:r>
          </w:p>
          <w:p>
            <w:pPr>
              <w:spacing w:line="594" w:lineRule="exact"/>
              <w:jc w:val="left"/>
              <w:rPr>
                <w:rFonts w:hint="default" w:ascii="Times New Roman" w:hAnsi="Times New Roman" w:eastAsia="仿宋_GB2312" w:cs="Times New Roman"/>
                <w:b w:val="0"/>
                <w:bCs/>
                <w:sz w:val="28"/>
                <w:szCs w:val="28"/>
                <w:vertAlign w:val="baseline"/>
                <w:lang w:val="en-US" w:eastAsia="zh-CN"/>
              </w:rPr>
            </w:pPr>
          </w:p>
          <w:p>
            <w:pPr>
              <w:pStyle w:val="11"/>
              <w:rPr>
                <w:rFonts w:hint="default" w:ascii="Times New Roman" w:hAnsi="Times New Roman" w:eastAsia="仿宋_GB2312" w:cs="Times New Roman"/>
                <w:b w:val="0"/>
                <w:bCs/>
                <w:sz w:val="28"/>
                <w:szCs w:val="28"/>
                <w:vertAlign w:val="baseline"/>
                <w:lang w:val="en-US" w:eastAsia="zh-CN"/>
              </w:rPr>
            </w:pPr>
          </w:p>
          <w:p>
            <w:pPr>
              <w:rPr>
                <w:rFonts w:hint="default"/>
                <w:lang w:val="en-US" w:eastAsia="zh-CN"/>
              </w:rPr>
            </w:pPr>
          </w:p>
          <w:p>
            <w:pPr>
              <w:spacing w:line="594" w:lineRule="exact"/>
              <w:jc w:val="left"/>
              <w:rPr>
                <w:rFonts w:hint="default" w:ascii="Times New Roman" w:hAnsi="Times New Roman" w:eastAsia="仿宋_GB2312" w:cs="Times New Roman"/>
                <w:b w:val="0"/>
                <w:bCs/>
                <w:sz w:val="28"/>
                <w:szCs w:val="28"/>
                <w:vertAlign w:val="baseline"/>
                <w:lang w:val="en-US" w:eastAsia="zh-CN"/>
              </w:rPr>
            </w:pPr>
            <w:r>
              <w:rPr>
                <w:rFonts w:hint="default" w:ascii="Times New Roman" w:hAnsi="Times New Roman" w:eastAsia="仿宋_GB2312" w:cs="Times New Roman"/>
                <w:b w:val="0"/>
                <w:bCs/>
                <w:sz w:val="28"/>
                <w:szCs w:val="28"/>
                <w:vertAlign w:val="baseline"/>
                <w:lang w:val="en-US" w:eastAsia="zh-CN"/>
              </w:rPr>
              <w:t xml:space="preserve">                               </w:t>
            </w:r>
            <w:r>
              <w:rPr>
                <w:rFonts w:hint="eastAsia" w:ascii="Times New Roman" w:hAnsi="Times New Roman" w:eastAsia="仿宋_GB2312" w:cs="Times New Roman"/>
                <w:b w:val="0"/>
                <w:bCs/>
                <w:sz w:val="28"/>
                <w:szCs w:val="28"/>
                <w:vertAlign w:val="baseline"/>
                <w:lang w:val="en-US" w:eastAsia="zh-CN"/>
              </w:rPr>
              <w:t xml:space="preserve"> </w:t>
            </w:r>
            <w:r>
              <w:rPr>
                <w:rFonts w:hint="eastAsia" w:ascii="Times New Roman" w:hAnsi="Times New Roman" w:cs="Times New Roman"/>
                <w:b w:val="0"/>
                <w:bCs/>
                <w:sz w:val="28"/>
                <w:szCs w:val="28"/>
                <w:vertAlign w:val="baseline"/>
                <w:lang w:val="en-US" w:eastAsia="zh-CN"/>
              </w:rPr>
              <w:t>统计分析机构</w:t>
            </w:r>
          </w:p>
          <w:p>
            <w:pPr>
              <w:spacing w:line="594" w:lineRule="exact"/>
              <w:ind w:firstLine="4860" w:firstLineChars="1800"/>
              <w:jc w:val="left"/>
              <w:rPr>
                <w:rFonts w:hint="default" w:ascii="Times New Roman" w:hAnsi="Times New Roman" w:eastAsia="仿宋_GB2312" w:cs="Times New Roman"/>
                <w:b w:val="0"/>
                <w:bCs/>
                <w:sz w:val="28"/>
                <w:szCs w:val="28"/>
                <w:vertAlign w:val="baseline"/>
                <w:lang w:val="en-US" w:eastAsia="zh-CN"/>
              </w:rPr>
            </w:pPr>
            <w:r>
              <w:rPr>
                <w:rFonts w:hint="default" w:ascii="Times New Roman" w:hAnsi="Times New Roman" w:eastAsia="仿宋_GB2312" w:cs="Times New Roman"/>
                <w:b w:val="0"/>
                <w:bCs/>
                <w:sz w:val="28"/>
                <w:szCs w:val="28"/>
                <w:vertAlign w:val="baseline"/>
                <w:lang w:val="en-US" w:eastAsia="zh-CN"/>
              </w:rPr>
              <w:t>负责人签字：</w:t>
            </w:r>
          </w:p>
          <w:p>
            <w:pPr>
              <w:spacing w:line="594" w:lineRule="exact"/>
              <w:jc w:val="left"/>
              <w:rPr>
                <w:rFonts w:hint="default" w:ascii="Times New Roman" w:hAnsi="Times New Roman" w:eastAsia="仿宋_GB2312" w:cs="Times New Roman"/>
                <w:b w:val="0"/>
                <w:bCs/>
                <w:sz w:val="28"/>
                <w:szCs w:val="28"/>
                <w:vertAlign w:val="baseline"/>
              </w:rPr>
            </w:pPr>
            <w:r>
              <w:rPr>
                <w:rFonts w:hint="default" w:ascii="Times New Roman" w:hAnsi="Times New Roman" w:eastAsia="仿宋_GB2312" w:cs="Times New Roman"/>
                <w:b w:val="0"/>
                <w:bCs/>
                <w:sz w:val="28"/>
                <w:szCs w:val="28"/>
                <w:vertAlign w:val="baseline"/>
                <w:lang w:val="en-US" w:eastAsia="zh-CN"/>
              </w:rPr>
              <w:t xml:space="preserve">                                （单位公章）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60"/>
        <w:jc w:val="center"/>
        <w:textAlignment w:val="auto"/>
        <w:rPr>
          <w:rFonts w:hint="default" w:ascii="Times New Roman" w:hAnsi="Times New Roman" w:eastAsia="微软雅黑" w:cs="Times New Roman"/>
          <w:sz w:val="44"/>
          <w:szCs w:val="44"/>
          <w:lang w:val="en-US" w:eastAsia="zh-CN"/>
        </w:rPr>
        <w:sectPr>
          <w:pgSz w:w="11906" w:h="16838"/>
          <w:pgMar w:top="1984" w:right="1474" w:bottom="1644" w:left="1474" w:header="851" w:footer="1191" w:gutter="0"/>
          <w:paperSrc/>
          <w:pgBorders>
            <w:top w:val="none" w:sz="0" w:space="0"/>
            <w:left w:val="none" w:sz="0" w:space="0"/>
            <w:bottom w:val="none" w:sz="0" w:space="0"/>
            <w:right w:val="none" w:sz="0" w:space="0"/>
          </w:pgBorders>
          <w:pgNumType w:fmt="decimal"/>
          <w:cols w:space="720" w:num="1"/>
          <w:rtlGutter w:val="0"/>
          <w:docGrid w:type="linesAndChars" w:linePitch="293" w:charSpace="-2240"/>
        </w:sect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标准</w:t>
      </w:r>
      <w:r>
        <w:rPr>
          <w:rFonts w:hint="default" w:ascii="Times New Roman" w:hAnsi="Times New Roman" w:eastAsia="仿宋_GB2312" w:cs="Times New Roman"/>
          <w:sz w:val="32"/>
          <w:szCs w:val="32"/>
          <w:lang w:eastAsia="zh-CN"/>
        </w:rPr>
        <w:t>基本概况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行业</w:t>
      </w:r>
      <w:r>
        <w:rPr>
          <w:rFonts w:hint="eastAsia" w:ascii="Times New Roman" w:hAnsi="Times New Roman" w:eastAsia="仿宋_GB2312" w:cs="Times New Roman"/>
          <w:sz w:val="32"/>
          <w:szCs w:val="32"/>
          <w:lang w:eastAsia="zh-CN"/>
        </w:rPr>
        <w:t>或领域</w:t>
      </w:r>
      <w:r>
        <w:rPr>
          <w:rFonts w:hint="default" w:ascii="Times New Roman" w:hAnsi="Times New Roman" w:eastAsia="仿宋_GB2312" w:cs="Times New Roman"/>
          <w:sz w:val="32"/>
          <w:szCs w:val="32"/>
        </w:rPr>
        <w:t>发展情况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（三）统计分析</w:t>
      </w:r>
      <w:r>
        <w:rPr>
          <w:rFonts w:hint="default" w:ascii="Times New Roman" w:hAnsi="Times New Roman" w:eastAsia="仿宋_GB2312" w:cs="Times New Roman"/>
          <w:sz w:val="32"/>
          <w:szCs w:val="32"/>
          <w:lang w:eastAsia="zh-CN"/>
        </w:rPr>
        <w:t>过程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数据收集</w:t>
      </w:r>
      <w:r>
        <w:rPr>
          <w:rFonts w:hint="eastAsia" w:ascii="Times New Roman" w:hAnsi="Times New Roman" w:eastAsia="仿宋_GB2312" w:cs="Times New Roman"/>
          <w:sz w:val="32"/>
          <w:szCs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二、标准实施情况统计分析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（依据各</w:t>
      </w:r>
      <w:r>
        <w:rPr>
          <w:rFonts w:hint="eastAsia" w:ascii="Times New Roman" w:hAnsi="Times New Roman" w:eastAsia="仿宋_GB2312" w:cs="Times New Roman"/>
          <w:sz w:val="32"/>
          <w:szCs w:val="32"/>
          <w:lang w:val="en-US" w:eastAsia="zh-CN"/>
        </w:rPr>
        <w:t>类</w:t>
      </w:r>
      <w:r>
        <w:rPr>
          <w:rFonts w:hint="default" w:ascii="Times New Roman" w:hAnsi="Times New Roman" w:eastAsia="仿宋_GB2312" w:cs="Times New Roman"/>
          <w:sz w:val="32"/>
          <w:szCs w:val="32"/>
          <w:lang w:val="en-US" w:eastAsia="zh-CN"/>
        </w:rPr>
        <w:t>信息</w:t>
      </w:r>
      <w:r>
        <w:rPr>
          <w:rFonts w:hint="eastAsia" w:ascii="Times New Roman" w:hAnsi="Times New Roman" w:eastAsia="仿宋_GB2312" w:cs="Times New Roman"/>
          <w:sz w:val="32"/>
          <w:szCs w:val="32"/>
          <w:lang w:val="en-US" w:eastAsia="zh-CN"/>
        </w:rPr>
        <w:t>的汇总梳理、调查问卷的整理分析</w:t>
      </w:r>
      <w:r>
        <w:rPr>
          <w:rFonts w:hint="default" w:ascii="Times New Roman" w:hAnsi="Times New Roman" w:eastAsia="仿宋_GB2312" w:cs="Times New Roman"/>
          <w:sz w:val="32"/>
          <w:szCs w:val="32"/>
          <w:lang w:val="en-US" w:eastAsia="zh-CN"/>
        </w:rPr>
        <w:t>，结合行业领域情况开展具体分析）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）标准执行情况分析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）标准适用性分析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）标准协调性分析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（四）标准</w:t>
      </w:r>
      <w:r>
        <w:rPr>
          <w:rFonts w:hint="eastAsia" w:ascii="Times New Roman" w:hAnsi="Times New Roman" w:eastAsia="仿宋_GB2312" w:cs="Times New Roman"/>
          <w:sz w:val="32"/>
          <w:szCs w:val="32"/>
          <w:lang w:val="en-US" w:eastAsia="zh-CN"/>
        </w:rPr>
        <w:t>实施制约因素</w:t>
      </w:r>
      <w:r>
        <w:rPr>
          <w:rFonts w:hint="default" w:ascii="Times New Roman" w:hAnsi="Times New Roman" w:eastAsia="仿宋_GB2312" w:cs="Times New Roman"/>
          <w:sz w:val="32"/>
          <w:szCs w:val="32"/>
          <w:lang w:val="en-US" w:eastAsia="zh-CN"/>
        </w:rPr>
        <w:t>分析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（五）标准实施</w:t>
      </w:r>
      <w:r>
        <w:rPr>
          <w:rFonts w:hint="eastAsia" w:ascii="Times New Roman" w:hAnsi="Times New Roman" w:eastAsia="仿宋_GB2312" w:cs="Times New Roman"/>
          <w:sz w:val="32"/>
          <w:szCs w:val="32"/>
          <w:lang w:val="en-US" w:eastAsia="zh-CN"/>
        </w:rPr>
        <w:t>成效</w:t>
      </w:r>
      <w:r>
        <w:rPr>
          <w:rFonts w:hint="default" w:ascii="Times New Roman" w:hAnsi="Times New Roman" w:eastAsia="仿宋_GB2312" w:cs="Times New Roman"/>
          <w:sz w:val="32"/>
          <w:szCs w:val="32"/>
          <w:lang w:val="en-US" w:eastAsia="zh-CN"/>
        </w:rPr>
        <w:t>分析</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三、标准存在的问题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结合统计分析结果，</w:t>
      </w:r>
      <w:r>
        <w:rPr>
          <w:rFonts w:hint="eastAsia" w:ascii="Times New Roman" w:hAnsi="Times New Roman" w:eastAsia="仿宋_GB2312" w:cs="Times New Roman"/>
          <w:sz w:val="32"/>
          <w:szCs w:val="32"/>
          <w:lang w:val="en-US" w:eastAsia="zh-CN"/>
        </w:rPr>
        <w:t>分析</w:t>
      </w:r>
      <w:r>
        <w:rPr>
          <w:rFonts w:hint="default" w:ascii="Times New Roman" w:hAnsi="Times New Roman" w:eastAsia="仿宋_GB2312" w:cs="Times New Roman"/>
          <w:sz w:val="32"/>
          <w:szCs w:val="32"/>
          <w:lang w:val="en-US" w:eastAsia="zh-CN"/>
        </w:rPr>
        <w:t>标准实施过程中存在的主要问题</w:t>
      </w:r>
      <w:r>
        <w:rPr>
          <w:rFonts w:hint="eastAsia" w:ascii="Times New Roman" w:hAnsi="Times New Roman" w:eastAsia="仿宋_GB2312" w:cs="Times New Roman"/>
          <w:sz w:val="32"/>
          <w:szCs w:val="32"/>
          <w:lang w:val="en-US" w:eastAsia="zh-CN"/>
        </w:rPr>
        <w:t>，包括实施方面存在的问题，以及标准本身存在的问题等。</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四、统计分析结论及建议</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（一）统计分析结论和主要成效</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lang w:eastAsia="zh-CN"/>
        </w:rPr>
        <w:t>标准实施的主要做法和亮点</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（三）下一步工作建议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2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lang w:val="en-US" w:eastAsia="zh-CN"/>
        </w:rPr>
        <w:t>附表</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见附表1~5。</w:t>
      </w:r>
    </w:p>
    <w:p>
      <w:pPr>
        <w:pStyle w:val="8"/>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sz w:val="32"/>
          <w:szCs w:val="32"/>
        </w:rPr>
        <w:sectPr>
          <w:pgSz w:w="11906" w:h="16838"/>
          <w:pgMar w:top="1984" w:right="1474" w:bottom="1644" w:left="1474" w:header="851" w:footer="1191" w:gutter="0"/>
          <w:paperSrc/>
          <w:pgBorders>
            <w:top w:val="none" w:sz="0" w:space="0"/>
            <w:left w:val="none" w:sz="0" w:space="0"/>
            <w:bottom w:val="none" w:sz="0" w:space="0"/>
            <w:right w:val="none" w:sz="0" w:space="0"/>
          </w:pgBorders>
          <w:pgNumType w:fmt="decimal"/>
          <w:cols w:space="720" w:num="1"/>
          <w:rtlGutter w:val="0"/>
          <w:docGrid w:type="linesAndChars" w:linePitch="293" w:charSpace="-2240"/>
        </w:sectPr>
      </w:pPr>
    </w:p>
    <w:p>
      <w:pPr>
        <w:pStyle w:val="8"/>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附表1</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微软雅黑" w:hAnsi="微软雅黑" w:eastAsia="微软雅黑" w:cs="微软雅黑"/>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微软雅黑" w:hAnsi="微软雅黑" w:eastAsia="微软雅黑" w:cs="微软雅黑"/>
          <w:spacing w:val="-11"/>
          <w:sz w:val="44"/>
          <w:szCs w:val="44"/>
          <w:lang w:val="en-US" w:eastAsia="zh-CN"/>
        </w:rPr>
      </w:pPr>
      <w:r>
        <w:rPr>
          <w:rFonts w:hint="eastAsia" w:ascii="微软雅黑" w:hAnsi="微软雅黑" w:eastAsia="微软雅黑" w:cs="微软雅黑"/>
          <w:spacing w:val="-11"/>
          <w:sz w:val="44"/>
          <w:szCs w:val="44"/>
          <w:lang w:val="en-US" w:eastAsia="zh-CN"/>
        </w:rPr>
        <w:t>标准实施宣贯情况清单</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黑体" w:cs="Times New Roman"/>
          <w:sz w:val="32"/>
          <w:szCs w:val="32"/>
          <w:lang w:val="en-US"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018"/>
        <w:gridCol w:w="1891"/>
        <w:gridCol w:w="1595"/>
        <w:gridCol w:w="145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宣贯培训内容</w:t>
            </w:r>
          </w:p>
        </w:tc>
        <w:tc>
          <w:tcPr>
            <w:tcW w:w="1891"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宣贯标准号及名称</w:t>
            </w:r>
          </w:p>
        </w:tc>
        <w:tc>
          <w:tcPr>
            <w:tcW w:w="159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eastAsia="zh-CN"/>
              </w:rPr>
              <w:t>宣贯形式</w:t>
            </w:r>
            <w:r>
              <w:rPr>
                <w:rFonts w:hint="eastAsia" w:ascii="仿宋" w:hAnsi="仿宋" w:eastAsia="仿宋" w:cs="仿宋"/>
                <w:b w:val="0"/>
                <w:bCs w:val="0"/>
                <w:sz w:val="28"/>
                <w:szCs w:val="28"/>
                <w:vertAlign w:val="baseline"/>
                <w:lang w:val="en-US" w:eastAsia="zh-CN"/>
              </w:rPr>
              <w:t>及时间</w:t>
            </w: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组织单位</w:t>
            </w: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noWrap w:val="0"/>
            <w:vAlign w:val="top"/>
          </w:tcPr>
          <w:p>
            <w:pPr>
              <w:keepNext w:val="0"/>
              <w:keepLines w:val="0"/>
              <w:pageBreakBefore w:val="0"/>
              <w:widowControl w:val="0"/>
              <w:numPr>
                <w:ilvl w:val="0"/>
                <w:numId w:val="4"/>
              </w:numPr>
              <w:kinsoku/>
              <w:wordWrap/>
              <w:overflowPunct/>
              <w:topLinePunct w:val="0"/>
              <w:autoSpaceDE/>
              <w:autoSpaceDN/>
              <w:bidi w:val="0"/>
              <w:adjustRightInd/>
              <w:snapToGrid/>
              <w:spacing w:line="594" w:lineRule="exact"/>
              <w:ind w:left="425" w:leftChars="0" w:hanging="425" w:firstLineChars="0"/>
              <w:textAlignment w:val="auto"/>
              <w:rPr>
                <w:rFonts w:hint="eastAsia" w:ascii="仿宋" w:hAnsi="仿宋" w:eastAsia="仿宋" w:cs="仿宋"/>
                <w:sz w:val="28"/>
                <w:szCs w:val="28"/>
                <w:vertAlign w:val="baseline"/>
              </w:rPr>
            </w:pPr>
          </w:p>
        </w:tc>
        <w:tc>
          <w:tcPr>
            <w:tcW w:w="201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891"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595"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458"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28"/>
                <w:szCs w:val="28"/>
                <w:vertAlign w:val="baseline"/>
              </w:rPr>
            </w:pPr>
          </w:p>
        </w:tc>
      </w:tr>
    </w:tbl>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default" w:ascii="Times New Roman" w:hAnsi="Times New Roman" w:eastAsia="仿宋_GB2312" w:cs="Times New Roman"/>
          <w:sz w:val="32"/>
          <w:szCs w:val="32"/>
        </w:rPr>
        <w:sectPr>
          <w:pgSz w:w="11906" w:h="16838"/>
          <w:pgMar w:top="1984" w:right="1474" w:bottom="1644" w:left="1474" w:header="851" w:footer="1191" w:gutter="0"/>
          <w:paperSrc/>
          <w:pgBorders>
            <w:top w:val="none" w:sz="0" w:space="0"/>
            <w:left w:val="none" w:sz="0" w:space="0"/>
            <w:bottom w:val="none" w:sz="0" w:space="0"/>
            <w:right w:val="none" w:sz="0" w:space="0"/>
          </w:pgBorders>
          <w:pgNumType w:fmt="decimal"/>
          <w:cols w:space="720" w:num="1"/>
          <w:rtlGutter w:val="0"/>
          <w:docGrid w:type="linesAndChars" w:linePitch="293" w:charSpace="-2240"/>
        </w:sect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附表2</w:t>
      </w:r>
    </w:p>
    <w:p>
      <w:pPr>
        <w:pStyle w:val="8"/>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微软雅黑" w:hAnsi="微软雅黑" w:eastAsia="微软雅黑" w:cs="微软雅黑"/>
          <w:spacing w:val="-11"/>
          <w:sz w:val="44"/>
          <w:szCs w:val="44"/>
          <w:lang w:val="en-US" w:eastAsia="zh-CN"/>
        </w:rPr>
      </w:pPr>
      <w:r>
        <w:rPr>
          <w:rFonts w:hint="eastAsia" w:ascii="微软雅黑" w:hAnsi="微软雅黑" w:eastAsia="微软雅黑" w:cs="微软雅黑"/>
          <w:spacing w:val="-11"/>
          <w:sz w:val="44"/>
          <w:szCs w:val="44"/>
          <w:lang w:val="en-US" w:eastAsia="zh-CN"/>
        </w:rPr>
        <w:t>引用标准的法律法规和推动标准实施的政策清单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黑体" w:cs="Times New Roman"/>
          <w:b w:val="0"/>
          <w:bCs w:val="0"/>
          <w:sz w:val="32"/>
          <w:szCs w:val="32"/>
          <w:lang w:val="en-US" w:eastAsia="zh-CN"/>
        </w:rPr>
      </w:pPr>
    </w:p>
    <w:tbl>
      <w:tblPr>
        <w:tblStyle w:val="14"/>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735"/>
        <w:gridCol w:w="1149"/>
        <w:gridCol w:w="1371"/>
        <w:gridCol w:w="193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1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法律法规或政策名称</w:t>
            </w:r>
          </w:p>
        </w:tc>
        <w:tc>
          <w:tcPr>
            <w:tcW w:w="114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文件号</w:t>
            </w:r>
          </w:p>
        </w:tc>
        <w:tc>
          <w:tcPr>
            <w:tcW w:w="13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发布单位</w:t>
            </w:r>
          </w:p>
        </w:tc>
        <w:tc>
          <w:tcPr>
            <w:tcW w:w="19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引用标准的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文件具体内容</w:t>
            </w:r>
          </w:p>
        </w:tc>
        <w:tc>
          <w:tcPr>
            <w:tcW w:w="18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是否引用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全部技术要求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149"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37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938" w:type="dxa"/>
            <w:noWrap w:val="0"/>
            <w:vAlign w:val="top"/>
          </w:tcPr>
          <w:p>
            <w:pPr>
              <w:pStyle w:val="8"/>
              <w:ind w:firstLine="0" w:firstLineChars="0"/>
              <w:rPr>
                <w:rFonts w:hint="default"/>
                <w:lang w:val="en-US" w:eastAsia="zh-CN"/>
              </w:rPr>
            </w:pPr>
          </w:p>
        </w:tc>
        <w:tc>
          <w:tcPr>
            <w:tcW w:w="184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149"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37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93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84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149"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37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93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84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149"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37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93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84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149"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37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93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84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149"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37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93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84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149"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37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93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84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149"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37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93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84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149"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37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93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84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8" w:type="dxa"/>
            <w:noWrap w:val="0"/>
            <w:vAlign w:val="top"/>
          </w:tcPr>
          <w:p>
            <w:pPr>
              <w:keepNext w:val="0"/>
              <w:keepLines w:val="0"/>
              <w:pageBreakBefore w:val="0"/>
              <w:widowControl w:val="0"/>
              <w:numPr>
                <w:ilvl w:val="0"/>
                <w:numId w:val="5"/>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1735"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149"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37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93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841"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bl>
    <w:p>
      <w:pPr>
        <w:spacing w:line="594"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仿宋_GB2312" w:cs="Times New Roman"/>
          <w:sz w:val="32"/>
          <w:szCs w:val="32"/>
        </w:rPr>
        <w:sectPr>
          <w:pgSz w:w="11906" w:h="16838"/>
          <w:pgMar w:top="1984" w:right="1474" w:bottom="1644" w:left="1474" w:header="851" w:footer="1191" w:gutter="0"/>
          <w:paperSrc/>
          <w:pgBorders>
            <w:top w:val="none" w:sz="0" w:space="0"/>
            <w:left w:val="none" w:sz="0" w:space="0"/>
            <w:bottom w:val="none" w:sz="0" w:space="0"/>
            <w:right w:val="none" w:sz="0" w:space="0"/>
          </w:pgBorders>
          <w:pgNumType w:fmt="decimal"/>
          <w:cols w:space="720" w:num="1"/>
          <w:rtlGutter w:val="0"/>
          <w:docGrid w:type="linesAndChars" w:linePitch="293" w:charSpace="-2240"/>
        </w:sect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附表3</w:t>
      </w:r>
    </w:p>
    <w:p>
      <w:pPr>
        <w:pStyle w:val="8"/>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微软雅黑" w:hAnsi="微软雅黑" w:eastAsia="微软雅黑" w:cs="微软雅黑"/>
          <w:spacing w:val="-11"/>
          <w:sz w:val="44"/>
          <w:szCs w:val="44"/>
          <w:lang w:val="en-US" w:eastAsia="zh-CN"/>
        </w:rPr>
      </w:pPr>
      <w:r>
        <w:rPr>
          <w:rFonts w:hint="eastAsia" w:ascii="微软雅黑" w:hAnsi="微软雅黑" w:eastAsia="微软雅黑" w:cs="微软雅黑"/>
          <w:spacing w:val="-11"/>
          <w:sz w:val="44"/>
          <w:szCs w:val="44"/>
          <w:lang w:val="en-US" w:eastAsia="zh-CN"/>
        </w:rPr>
        <w:t>标准在检验、检测、认证或鉴定等机构的应用</w:t>
      </w:r>
    </w:p>
    <w:p>
      <w:pPr>
        <w:pStyle w:val="8"/>
        <w:rPr>
          <w:rFonts w:hint="eastAsia"/>
          <w:lang w:val="en-US" w:eastAsia="zh-CN"/>
        </w:rPr>
      </w:pPr>
    </w:p>
    <w:tbl>
      <w:tblPr>
        <w:tblStyle w:val="14"/>
        <w:tblW w:w="9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1691"/>
        <w:gridCol w:w="2567"/>
        <w:gridCol w:w="2091"/>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应用场景</w:t>
            </w: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val="en-US" w:eastAsia="zh-CN"/>
              </w:rPr>
              <w:t>应用阶段</w:t>
            </w: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应</w:t>
            </w:r>
            <w:r>
              <w:rPr>
                <w:rFonts w:hint="eastAsia" w:ascii="仿宋" w:hAnsi="仿宋" w:eastAsia="仿宋" w:cs="仿宋"/>
                <w:b w:val="0"/>
                <w:bCs w:val="0"/>
                <w:sz w:val="28"/>
                <w:szCs w:val="28"/>
                <w:vertAlign w:val="baseline"/>
                <w:lang w:eastAsia="zh-CN"/>
              </w:rPr>
              <w:t>用</w:t>
            </w:r>
            <w:r>
              <w:rPr>
                <w:rFonts w:hint="eastAsia" w:ascii="仿宋" w:hAnsi="仿宋" w:eastAsia="仿宋" w:cs="仿宋"/>
                <w:b w:val="0"/>
                <w:bCs w:val="0"/>
                <w:sz w:val="28"/>
                <w:szCs w:val="28"/>
                <w:vertAlign w:val="baseline"/>
                <w:lang w:val="en-US" w:eastAsia="zh-CN"/>
              </w:rPr>
              <w:t>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val="en-US" w:eastAsia="zh-CN"/>
              </w:rPr>
              <w:t>具体</w:t>
            </w:r>
            <w:r>
              <w:rPr>
                <w:rFonts w:hint="eastAsia" w:ascii="仿宋" w:hAnsi="仿宋" w:eastAsia="仿宋" w:cs="仿宋"/>
                <w:b w:val="0"/>
                <w:bCs w:val="0"/>
                <w:sz w:val="28"/>
                <w:szCs w:val="28"/>
                <w:vertAlign w:val="baseline"/>
                <w:lang w:eastAsia="zh-CN"/>
              </w:rPr>
              <w:t>标准内容</w:t>
            </w: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是否应用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全部技术要求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13.</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15.</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16.</w:t>
            </w:r>
          </w:p>
        </w:tc>
        <w:tc>
          <w:tcPr>
            <w:tcW w:w="16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56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0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br w:type="page"/>
      </w:r>
      <w:r>
        <w:rPr>
          <w:rFonts w:hint="eastAsia" w:ascii="Times New Roman" w:hAnsi="Times New Roman" w:eastAsia="黑体" w:cs="Times New Roman"/>
          <w:sz w:val="32"/>
          <w:szCs w:val="32"/>
          <w:lang w:val="en-US" w:eastAsia="zh-CN"/>
        </w:rPr>
        <w:t>附表4</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微软雅黑" w:hAnsi="微软雅黑" w:eastAsia="微软雅黑" w:cs="微软雅黑"/>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微软雅黑" w:hAnsi="微软雅黑" w:eastAsia="微软雅黑" w:cs="微软雅黑"/>
          <w:spacing w:val="-11"/>
          <w:sz w:val="44"/>
          <w:szCs w:val="44"/>
          <w:lang w:val="en-US" w:eastAsia="zh-CN"/>
        </w:rPr>
      </w:pPr>
      <w:r>
        <w:rPr>
          <w:rFonts w:hint="eastAsia" w:ascii="微软雅黑" w:hAnsi="微软雅黑" w:eastAsia="微软雅黑" w:cs="微软雅黑"/>
          <w:spacing w:val="-11"/>
          <w:sz w:val="44"/>
          <w:szCs w:val="44"/>
          <w:lang w:val="en-US" w:eastAsia="zh-CN"/>
        </w:rPr>
        <w:t>标准适用性、协调性及实施存在的问题清单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黑体" w:cs="Times New Roman"/>
          <w:sz w:val="32"/>
          <w:szCs w:val="32"/>
          <w:lang w:val="en-US" w:eastAsia="zh-CN"/>
        </w:rPr>
      </w:pPr>
    </w:p>
    <w:tbl>
      <w:tblPr>
        <w:tblStyle w:val="14"/>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710"/>
        <w:gridCol w:w="1570"/>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27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问题内容</w:t>
            </w:r>
          </w:p>
        </w:tc>
        <w:tc>
          <w:tcPr>
            <w:tcW w:w="15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问题类型</w:t>
            </w:r>
          </w:p>
        </w:tc>
        <w:tc>
          <w:tcPr>
            <w:tcW w:w="32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810" w:firstLineChars="300"/>
              <w:jc w:val="both"/>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处理建议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0"/>
            <w:vAlign w:val="top"/>
          </w:tcPr>
          <w:p>
            <w:pPr>
              <w:keepNext w:val="0"/>
              <w:keepLines w:val="0"/>
              <w:pageBreakBefore w:val="0"/>
              <w:widowControl w:val="0"/>
              <w:numPr>
                <w:ilvl w:val="0"/>
                <w:numId w:val="6"/>
              </w:numPr>
              <w:kinsoku/>
              <w:wordWrap/>
              <w:overflowPunct/>
              <w:topLinePunct w:val="0"/>
              <w:autoSpaceDE/>
              <w:autoSpaceDN/>
              <w:bidi w:val="0"/>
              <w:adjustRightInd w:val="0"/>
              <w:snapToGrid w:val="0"/>
              <w:spacing w:line="594" w:lineRule="exact"/>
              <w:ind w:left="425" w:leftChars="0" w:hanging="425" w:firstLineChars="0"/>
              <w:textAlignment w:val="auto"/>
              <w:rPr>
                <w:rFonts w:hint="eastAsia" w:ascii="仿宋" w:hAnsi="仿宋" w:eastAsia="仿宋" w:cs="仿宋"/>
                <w:sz w:val="28"/>
                <w:szCs w:val="28"/>
                <w:vertAlign w:val="baseline"/>
              </w:rPr>
            </w:pPr>
          </w:p>
        </w:tc>
        <w:tc>
          <w:tcPr>
            <w:tcW w:w="271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1570"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c>
          <w:tcPr>
            <w:tcW w:w="3258" w:type="dxa"/>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46"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textAlignment w:val="auto"/>
              <w:rPr>
                <w:rFonts w:hint="eastAsia" w:ascii="仿宋" w:hAnsi="仿宋" w:eastAsia="仿宋" w:cs="仿宋"/>
                <w:sz w:val="28"/>
                <w:szCs w:val="28"/>
                <w:vertAlign w:val="baseline"/>
              </w:rPr>
            </w:pPr>
            <w:r>
              <w:rPr>
                <w:rFonts w:hint="eastAsia" w:ascii="仿宋_GB2312" w:hAnsi="仿宋_GB2312" w:eastAsia="仿宋_GB2312" w:cs="仿宋_GB2312"/>
                <w:sz w:val="21"/>
                <w:szCs w:val="21"/>
                <w:lang w:val="en-US" w:eastAsia="zh-CN"/>
              </w:rPr>
              <w:t>注：问题类型包括标准适用性、标准协调性、标准实施等。</w:t>
            </w:r>
          </w:p>
        </w:tc>
      </w:tr>
    </w:tbl>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eastAsia" w:ascii="Times New Roman" w:hAnsi="Times New Roman" w:eastAsia="黑体" w:cs="Times New Roman"/>
          <w:sz w:val="32"/>
          <w:szCs w:val="32"/>
          <w:lang w:val="en-US" w:eastAsia="zh-CN"/>
        </w:rPr>
        <w:sectPr>
          <w:headerReference r:id="rId9" w:type="default"/>
          <w:footerReference r:id="rId11" w:type="default"/>
          <w:headerReference r:id="rId10" w:type="even"/>
          <w:footerReference r:id="rId12" w:type="even"/>
          <w:pgSz w:w="11906" w:h="16838"/>
          <w:pgMar w:top="1984" w:right="1474" w:bottom="1644" w:left="1474" w:header="851" w:footer="1191" w:gutter="0"/>
          <w:paperSrc/>
          <w:pgBorders>
            <w:top w:val="none" w:sz="0" w:space="0"/>
            <w:left w:val="none" w:sz="0" w:space="0"/>
            <w:bottom w:val="none" w:sz="0" w:space="0"/>
            <w:right w:val="none" w:sz="0" w:space="0"/>
          </w:pgBorders>
          <w:pgNumType w:fmt="decimal"/>
          <w:cols w:space="720" w:num="1"/>
          <w:rtlGutter w:val="0"/>
          <w:docGrid w:type="linesAndChars" w:linePitch="298" w:charSpace="-2240"/>
        </w:sect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附表5</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eastAsia" w:ascii="微软雅黑" w:hAnsi="微软雅黑" w:eastAsia="微软雅黑" w:cs="微软雅黑"/>
          <w:spacing w:val="-11"/>
          <w:sz w:val="44"/>
          <w:szCs w:val="44"/>
          <w:lang w:val="en-US" w:eastAsia="zh-CN"/>
        </w:rPr>
      </w:pPr>
      <w:r>
        <w:rPr>
          <w:rFonts w:hint="eastAsia" w:ascii="微软雅黑" w:hAnsi="微软雅黑" w:eastAsia="微软雅黑" w:cs="微软雅黑"/>
          <w:spacing w:val="-11"/>
          <w:sz w:val="44"/>
          <w:szCs w:val="44"/>
          <w:lang w:val="en-US" w:eastAsia="zh-CN"/>
        </w:rPr>
        <w:t>针对问题清单的标准化服务清单</w:t>
      </w:r>
    </w:p>
    <w:p>
      <w:pPr>
        <w:pStyle w:val="8"/>
        <w:rPr>
          <w:rFonts w:hint="eastAsia"/>
          <w:lang w:val="en-US" w:eastAsia="zh-CN"/>
        </w:rPr>
      </w:pPr>
    </w:p>
    <w:tbl>
      <w:tblPr>
        <w:tblStyle w:val="14"/>
        <w:tblW w:w="13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2181"/>
        <w:gridCol w:w="2874"/>
        <w:gridCol w:w="1138"/>
        <w:gridCol w:w="1925"/>
        <w:gridCol w:w="4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21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标准化技术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服务机构名称</w:t>
            </w:r>
          </w:p>
        </w:tc>
        <w:tc>
          <w:tcPr>
            <w:tcW w:w="2874" w:type="dxa"/>
            <w:noWrap w:val="0"/>
            <w:vAlign w:val="center"/>
          </w:tcPr>
          <w:p>
            <w:pPr>
              <w:ind w:left="0" w:leftChars="0" w:firstLine="0" w:firstLineChars="0"/>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服务内容</w:t>
            </w:r>
          </w:p>
        </w:tc>
        <w:tc>
          <w:tcPr>
            <w:tcW w:w="1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服务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次数</w:t>
            </w:r>
          </w:p>
        </w:tc>
        <w:tc>
          <w:tcPr>
            <w:tcW w:w="1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解决的</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主要问题</w:t>
            </w:r>
          </w:p>
        </w:tc>
        <w:tc>
          <w:tcPr>
            <w:tcW w:w="40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主要成效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1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c>
          <w:tcPr>
            <w:tcW w:w="40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1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c>
          <w:tcPr>
            <w:tcW w:w="40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1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c>
          <w:tcPr>
            <w:tcW w:w="40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21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c>
          <w:tcPr>
            <w:tcW w:w="40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21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c>
          <w:tcPr>
            <w:tcW w:w="40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21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c>
          <w:tcPr>
            <w:tcW w:w="40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Chars="0"/>
              <w:textAlignment w:val="auto"/>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218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28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13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eastAsia="zh-CN"/>
              </w:rPr>
            </w:pPr>
          </w:p>
        </w:tc>
        <w:tc>
          <w:tcPr>
            <w:tcW w:w="19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仿宋" w:hAnsi="仿宋" w:eastAsia="仿宋" w:cs="仿宋"/>
                <w:sz w:val="28"/>
                <w:szCs w:val="28"/>
                <w:vertAlign w:val="baseline"/>
                <w:lang w:val="en-US" w:eastAsia="zh-CN"/>
              </w:rPr>
            </w:pPr>
          </w:p>
        </w:tc>
        <w:tc>
          <w:tcPr>
            <w:tcW w:w="402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1"/>
          <w:szCs w:val="21"/>
          <w:lang w:val="en-US" w:eastAsia="zh-CN"/>
        </w:rPr>
        <w:sectPr>
          <w:headerReference r:id="rId13" w:type="default"/>
          <w:footerReference r:id="rId15" w:type="default"/>
          <w:headerReference r:id="rId14" w:type="even"/>
          <w:footerReference r:id="rId16" w:type="even"/>
          <w:pgSz w:w="16838" w:h="11906" w:orient="landscape"/>
          <w:pgMar w:top="1984" w:right="1474" w:bottom="1644" w:left="1474" w:header="851" w:footer="1191" w:gutter="0"/>
          <w:paperSrc/>
          <w:pgBorders>
            <w:top w:val="none" w:sz="0" w:space="0"/>
            <w:left w:val="none" w:sz="0" w:space="0"/>
            <w:bottom w:val="none" w:sz="0" w:space="0"/>
            <w:right w:val="none" w:sz="0" w:space="0"/>
          </w:pgBorders>
          <w:pgNumType w:fmt="decimal"/>
          <w:cols w:space="720" w:num="1"/>
          <w:rtlGutter w:val="0"/>
          <w:docGrid w:type="linesAndChars" w:linePitch="288" w:charSpace="-2240"/>
        </w:sectPr>
      </w:pPr>
      <w:r>
        <w:rPr>
          <w:rFonts w:hint="eastAsia" w:ascii="仿宋_GB2312" w:hAnsi="仿宋_GB2312" w:eastAsia="仿宋_GB2312" w:cs="仿宋_GB2312"/>
          <w:sz w:val="21"/>
          <w:szCs w:val="21"/>
          <w:lang w:val="en-US" w:eastAsia="zh-CN"/>
        </w:rPr>
        <w:t xml:space="preserve">  注：1.标准化技术服务机构可为统计分析点、全国专业标准化技术委员会、行业协会、标准化技术机构、检测认证机构、科研机构等；2.服务内容包括标准信息服务、标准宣贯培训、达标能力提升服务、标准体系建设、标准符合性验证、个性化技术解决方案提供等服务活动。</w:t>
      </w:r>
    </w:p>
    <w:p>
      <w:pPr>
        <w:keepNext w:val="0"/>
        <w:keepLines w:val="0"/>
        <w:pageBreakBefore w:val="0"/>
        <w:widowControl w:val="0"/>
        <w:kinsoku/>
        <w:wordWrap/>
        <w:overflowPunct w:val="0"/>
        <w:topLinePunct w:val="0"/>
        <w:autoSpaceDE/>
        <w:autoSpaceDN/>
        <w:bidi w:val="0"/>
        <w:adjustRightInd/>
        <w:snapToGrid/>
        <w:spacing w:line="570" w:lineRule="exact"/>
        <w:ind w:firstLine="0" w:firstLineChars="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附件2.2</w:t>
      </w:r>
    </w:p>
    <w:p>
      <w:pPr>
        <w:keepNext w:val="0"/>
        <w:keepLines w:val="0"/>
        <w:pageBreakBefore w:val="0"/>
        <w:widowControl w:val="0"/>
        <w:kinsoku/>
        <w:wordWrap/>
        <w:overflowPunct w:val="0"/>
        <w:topLinePunct w:val="0"/>
        <w:autoSpaceDE/>
        <w:autoSpaceDN/>
        <w:bidi w:val="0"/>
        <w:adjustRightInd/>
        <w:snapToGrid/>
        <w:spacing w:line="570" w:lineRule="exact"/>
        <w:ind w:firstLine="0" w:firstLineChars="0"/>
        <w:jc w:val="center"/>
        <w:textAlignment w:val="auto"/>
        <w:rPr>
          <w:rFonts w:hint="eastAsia" w:ascii="黑体" w:hAnsi="黑体" w:eastAsia="黑体" w:cs="黑体"/>
          <w:b w:val="0"/>
          <w:bCs w:val="0"/>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0" w:firstLineChars="0"/>
        <w:jc w:val="center"/>
        <w:textAlignment w:val="auto"/>
        <w:rPr>
          <w:rFonts w:hint="eastAsia" w:ascii="微软雅黑" w:hAnsi="微软雅黑" w:eastAsia="微软雅黑" w:cs="微软雅黑"/>
          <w:b w:val="0"/>
          <w:bCs w:val="0"/>
          <w:sz w:val="44"/>
          <w:szCs w:val="44"/>
          <w:highlight w:val="none"/>
          <w:lang w:val="en-US" w:eastAsia="zh-CN"/>
        </w:rPr>
      </w:pPr>
      <w:r>
        <w:rPr>
          <w:rFonts w:hint="eastAsia" w:ascii="微软雅黑" w:hAnsi="微软雅黑" w:eastAsia="微软雅黑" w:cs="微软雅黑"/>
          <w:b w:val="0"/>
          <w:bCs w:val="0"/>
          <w:sz w:val="44"/>
          <w:szCs w:val="44"/>
          <w:highlight w:val="none"/>
          <w:lang w:val="en-US" w:eastAsia="zh-CN"/>
        </w:rPr>
        <w:t>企业等标准实施主体调查问卷（参考模板）</w:t>
      </w:r>
    </w:p>
    <w:p>
      <w:pPr>
        <w:pStyle w:val="2"/>
        <w:keepNext w:val="0"/>
        <w:keepLines w:val="0"/>
        <w:pageBreakBefore w:val="0"/>
        <w:widowControl w:val="0"/>
        <w:kinsoku/>
        <w:wordWrap/>
        <w:overflowPunct w:val="0"/>
        <w:topLinePunct w:val="0"/>
        <w:autoSpaceDE/>
        <w:autoSpaceDN/>
        <w:bidi w:val="0"/>
        <w:adjustRightInd/>
        <w:snapToGrid/>
        <w:spacing w:after="0" w:afterLines="0" w:line="570" w:lineRule="exact"/>
        <w:textAlignment w:val="auto"/>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70" w:lineRule="exact"/>
        <w:ind w:firstLine="54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为了</w:t>
      </w:r>
      <w:r>
        <w:rPr>
          <w:rFonts w:hint="eastAsia" w:ascii="仿宋_GB2312" w:hAnsi="仿宋_GB2312" w:eastAsia="仿宋_GB2312" w:cs="仿宋_GB2312"/>
          <w:sz w:val="28"/>
          <w:szCs w:val="28"/>
          <w:lang w:val="en-US" w:eastAsia="zh-CN"/>
        </w:rPr>
        <w:t>进一步落实《标准化法》《强制性国家标准管理办法》的实施统计分析要求，提升强制性国家标准制定质量和水平，</w:t>
      </w:r>
      <w:r>
        <w:rPr>
          <w:rFonts w:hint="eastAsia" w:ascii="仿宋_GB2312" w:hAnsi="仿宋_GB2312" w:eastAsia="仿宋_GB2312" w:cs="仿宋_GB2312"/>
          <w:sz w:val="28"/>
          <w:szCs w:val="28"/>
        </w:rPr>
        <w:t>诚</w:t>
      </w:r>
      <w:r>
        <w:rPr>
          <w:rFonts w:hint="eastAsia" w:ascii="仿宋_GB2312" w:hAnsi="仿宋_GB2312" w:eastAsia="仿宋_GB2312" w:cs="仿宋_GB2312"/>
          <w:sz w:val="28"/>
          <w:szCs w:val="28"/>
          <w:lang w:val="en-US" w:eastAsia="zh-CN"/>
        </w:rPr>
        <w:t>邀你</w:t>
      </w:r>
      <w:r>
        <w:rPr>
          <w:rFonts w:hint="eastAsia" w:ascii="仿宋_GB2312" w:hAnsi="仿宋_GB2312" w:cs="仿宋_GB2312"/>
          <w:sz w:val="28"/>
          <w:szCs w:val="28"/>
          <w:lang w:val="en-US" w:eastAsia="zh-CN"/>
        </w:rPr>
        <w:t>单位</w:t>
      </w:r>
      <w:r>
        <w:rPr>
          <w:rFonts w:hint="eastAsia" w:ascii="仿宋_GB2312" w:hAnsi="仿宋_GB2312" w:eastAsia="仿宋_GB2312" w:cs="仿宋_GB2312"/>
          <w:sz w:val="28"/>
          <w:szCs w:val="28"/>
          <w:lang w:val="en-US" w:eastAsia="zh-CN"/>
        </w:rPr>
        <w:t>参与此调查问卷的</w:t>
      </w:r>
      <w:r>
        <w:rPr>
          <w:rFonts w:hint="eastAsia" w:ascii="仿宋_GB2312" w:hAnsi="仿宋_GB2312" w:eastAsia="仿宋_GB2312" w:cs="仿宋_GB2312"/>
          <w:sz w:val="28"/>
          <w:szCs w:val="28"/>
        </w:rPr>
        <w:t>填写，</w:t>
      </w:r>
      <w:r>
        <w:rPr>
          <w:rFonts w:hint="eastAsia" w:ascii="仿宋_GB2312" w:hAnsi="仿宋_GB2312" w:eastAsia="仿宋_GB2312" w:cs="仿宋_GB2312"/>
          <w:sz w:val="28"/>
          <w:szCs w:val="28"/>
          <w:lang w:val="en-US" w:eastAsia="zh-CN"/>
        </w:rPr>
        <w:t>请完整如实填写，</w:t>
      </w:r>
      <w:r>
        <w:rPr>
          <w:rFonts w:hint="eastAsia" w:ascii="仿宋_GB2312" w:hAnsi="仿宋_GB2312" w:eastAsia="仿宋_GB2312" w:cs="仿宋_GB2312"/>
          <w:sz w:val="28"/>
          <w:szCs w:val="28"/>
        </w:rPr>
        <w:t>以便我们更</w:t>
      </w:r>
      <w:r>
        <w:rPr>
          <w:rFonts w:hint="eastAsia" w:ascii="仿宋_GB2312" w:hAnsi="仿宋_GB2312" w:eastAsia="仿宋_GB2312" w:cs="仿宋_GB2312"/>
          <w:sz w:val="28"/>
          <w:szCs w:val="28"/>
          <w:lang w:val="en-US" w:eastAsia="zh-CN"/>
        </w:rPr>
        <w:t>有效</w:t>
      </w:r>
      <w:r>
        <w:rPr>
          <w:rFonts w:hint="eastAsia" w:ascii="仿宋_GB2312" w:hAnsi="仿宋_GB2312" w:eastAsia="仿宋_GB2312" w:cs="仿宋_GB2312"/>
          <w:sz w:val="28"/>
          <w:szCs w:val="28"/>
        </w:rPr>
        <w:t>地</w:t>
      </w:r>
      <w:r>
        <w:rPr>
          <w:rFonts w:hint="eastAsia" w:ascii="仿宋_GB2312" w:hAnsi="仿宋_GB2312" w:eastAsia="仿宋_GB2312" w:cs="仿宋_GB2312"/>
          <w:sz w:val="28"/>
          <w:szCs w:val="28"/>
          <w:lang w:val="en-US" w:eastAsia="zh-CN"/>
        </w:rPr>
        <w:t>掌握</w:t>
      </w:r>
      <w:r>
        <w:rPr>
          <w:rFonts w:hint="default" w:ascii="Times New Roman" w:hAnsi="Times New Roman" w:eastAsia="仿宋_GB2312" w:cs="Times New Roman"/>
          <w:sz w:val="28"/>
          <w:szCs w:val="28"/>
          <w:lang w:val="en-US" w:eastAsia="zh-CN"/>
        </w:rPr>
        <w:t>GB XXXX—XXXX《XXXX</w:t>
      </w:r>
      <w:r>
        <w:rPr>
          <w:rFonts w:hint="eastAsia" w:ascii="仿宋_GB2312" w:hAnsi="仿宋_GB2312" w:eastAsia="仿宋_GB2312" w:cs="仿宋_GB2312"/>
          <w:sz w:val="28"/>
          <w:szCs w:val="28"/>
          <w:lang w:val="en-US" w:eastAsia="zh-CN"/>
        </w:rPr>
        <w:t>》强制性国家标准的实施效益和存在的问题</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非常感谢您的配合</w:t>
      </w:r>
      <w:r>
        <w:rPr>
          <w:rFonts w:hint="eastAsia" w:ascii="仿宋_GB2312" w:hAnsi="仿宋_GB2312" w:cs="仿宋_GB2312"/>
          <w:sz w:val="28"/>
          <w:szCs w:val="28"/>
          <w:lang w:eastAsia="zh-CN"/>
        </w:rPr>
        <w:t>。</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所在</w:t>
      </w:r>
      <w:r>
        <w:rPr>
          <w:rFonts w:hint="eastAsia" w:ascii="仿宋_GB2312" w:hAnsi="仿宋_GB2312" w:cs="仿宋_GB2312"/>
          <w:b w:val="0"/>
          <w:bCs w:val="0"/>
          <w:sz w:val="28"/>
          <w:szCs w:val="28"/>
          <w:lang w:val="en-US" w:eastAsia="zh-CN"/>
        </w:rPr>
        <w:t>单位</w:t>
      </w:r>
      <w:r>
        <w:rPr>
          <w:rFonts w:hint="eastAsia" w:ascii="仿宋_GB2312" w:hAnsi="仿宋_GB2312" w:eastAsia="仿宋_GB2312" w:cs="仿宋_GB2312"/>
          <w:b w:val="0"/>
          <w:bCs w:val="0"/>
          <w:sz w:val="28"/>
          <w:szCs w:val="28"/>
          <w:lang w:val="en-US" w:eastAsia="zh-CN"/>
        </w:rPr>
        <w:t>的类型：</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2" w:char="00A3"/>
      </w:r>
      <w:r>
        <w:rPr>
          <w:rFonts w:hint="eastAsia" w:ascii="仿宋_GB2312" w:hAnsi="仿宋_GB2312" w:cs="仿宋_GB2312"/>
          <w:b w:val="0"/>
          <w:bCs w:val="0"/>
          <w:sz w:val="28"/>
          <w:szCs w:val="28"/>
          <w:highlight w:val="none"/>
          <w:lang w:val="en-US" w:eastAsia="zh-CN"/>
        </w:rPr>
        <w:t>企业</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2" w:char="00A3"/>
      </w:r>
      <w:r>
        <w:rPr>
          <w:rFonts w:hint="eastAsia" w:ascii="仿宋_GB2312" w:hAnsi="仿宋_GB2312" w:cs="仿宋_GB2312"/>
          <w:b w:val="0"/>
          <w:bCs w:val="0"/>
          <w:sz w:val="28"/>
          <w:szCs w:val="28"/>
          <w:highlight w:val="none"/>
          <w:lang w:val="en-US" w:eastAsia="zh-CN"/>
        </w:rPr>
        <w:t>检验检测机构</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2" w:char="00A3"/>
      </w:r>
      <w:r>
        <w:rPr>
          <w:rFonts w:hint="eastAsia" w:ascii="仿宋_GB2312" w:hAnsi="仿宋_GB2312" w:cs="仿宋_GB2312"/>
          <w:b w:val="0"/>
          <w:bCs w:val="0"/>
          <w:sz w:val="28"/>
          <w:szCs w:val="28"/>
          <w:highlight w:val="none"/>
          <w:lang w:val="en-US" w:eastAsia="zh-CN"/>
        </w:rPr>
        <w:t>认证机构</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2" w:char="00A3"/>
      </w:r>
      <w:r>
        <w:rPr>
          <w:rFonts w:hint="eastAsia" w:ascii="仿宋_GB2312" w:hAnsi="仿宋_GB2312" w:cs="仿宋_GB2312"/>
          <w:b w:val="0"/>
          <w:bCs w:val="0"/>
          <w:sz w:val="28"/>
          <w:szCs w:val="28"/>
          <w:highlight w:val="none"/>
          <w:lang w:val="en-US" w:eastAsia="zh-CN"/>
        </w:rPr>
        <w:t>行业协会</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sym w:font="Wingdings 2" w:char="00A3"/>
      </w:r>
      <w:r>
        <w:rPr>
          <w:rFonts w:hint="eastAsia" w:ascii="仿宋_GB2312" w:hAnsi="仿宋_GB2312" w:cs="仿宋_GB2312"/>
          <w:b w:val="0"/>
          <w:bCs w:val="0"/>
          <w:sz w:val="28"/>
          <w:szCs w:val="28"/>
          <w:highlight w:val="none"/>
          <w:lang w:val="en-US" w:eastAsia="zh-CN"/>
        </w:rPr>
        <w:t>监督执法部门</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default" w:ascii="仿宋_GB2312" w:hAnsi="仿宋_GB2312" w:cs="仿宋_GB2312"/>
          <w:b w:val="0"/>
          <w:bCs w:val="0"/>
          <w:sz w:val="28"/>
          <w:szCs w:val="28"/>
          <w:highlight w:val="none"/>
          <w:u w:val="single"/>
          <w:lang w:val="en-US" w:eastAsia="zh-CN"/>
        </w:rPr>
      </w:pPr>
      <w:r>
        <w:rPr>
          <w:rFonts w:hint="eastAsia" w:ascii="仿宋_GB2312" w:hAnsi="仿宋_GB2312" w:eastAsia="仿宋_GB2312" w:cs="仿宋_GB2312"/>
          <w:b w:val="0"/>
          <w:bCs w:val="0"/>
          <w:sz w:val="28"/>
          <w:szCs w:val="28"/>
          <w:highlight w:val="none"/>
          <w:lang w:val="en-US" w:eastAsia="zh-CN"/>
        </w:rPr>
        <w:sym w:font="Wingdings 2" w:char="00A3"/>
      </w:r>
      <w:r>
        <w:rPr>
          <w:rFonts w:hint="eastAsia" w:ascii="仿宋_GB2312" w:hAnsi="仿宋_GB2312" w:cs="仿宋_GB2312"/>
          <w:b w:val="0"/>
          <w:bCs w:val="0"/>
          <w:sz w:val="28"/>
          <w:szCs w:val="28"/>
          <w:highlight w:val="none"/>
          <w:lang w:val="en-US" w:eastAsia="zh-CN"/>
        </w:rPr>
        <w:t>其他</w:t>
      </w:r>
      <w:r>
        <w:rPr>
          <w:rFonts w:hint="eastAsia" w:ascii="仿宋_GB2312" w:hAnsi="仿宋_GB2312" w:cs="仿宋_GB2312"/>
          <w:b w:val="0"/>
          <w:bCs w:val="0"/>
          <w:sz w:val="28"/>
          <w:szCs w:val="28"/>
          <w:highlight w:val="none"/>
          <w:u w:val="single"/>
          <w:lang w:val="en-US" w:eastAsia="zh-CN"/>
        </w:rPr>
        <w:t xml:space="preserve">           </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在</w:t>
      </w:r>
      <w:r>
        <w:rPr>
          <w:rFonts w:hint="eastAsia" w:ascii="仿宋_GB2312" w:hAnsi="仿宋_GB2312" w:eastAsia="仿宋_GB2312" w:cs="仿宋_GB2312"/>
          <w:b w:val="0"/>
          <w:bCs w:val="0"/>
          <w:sz w:val="28"/>
          <w:szCs w:val="28"/>
          <w:lang w:val="en-US" w:eastAsia="zh-CN"/>
        </w:rPr>
        <w:t>工作中，是否执行该标准：</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经常</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偶尔</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很少使用</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没用过</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主要在下述哪一阶段使用该标准（可多选）</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left="539" w:leftChars="174" w:firstLine="0" w:firstLineChars="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设计</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生产加工</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采购</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检验检测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认证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其他</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实施标准取得的主要成效（可多选）</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54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产品市场占有率变化（由实施前的</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%变为</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w:t>
      </w:r>
      <w:r>
        <w:rPr>
          <w:rFonts w:hint="eastAsia" w:ascii="仿宋_GB2312" w:hAnsi="仿宋_GB2312" w:eastAsia="仿宋_GB2312" w:cs="仿宋_GB2312"/>
          <w:b w:val="0"/>
          <w:bCs w:val="0"/>
          <w:sz w:val="28"/>
          <w:szCs w:val="28"/>
          <w:lang w:val="en-US" w:eastAsia="zh-CN"/>
        </w:rPr>
        <w:t xml:space="preserve">）  </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54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经济效益变化（产值由实施前的</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万元变为</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万元，利润由</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万元变为</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万元）</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54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产品出口变化（产值由实施前的</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万美元变为</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万美元）</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54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生产效率变化（由实施前的人均</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万元变为人均</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万元）</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54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顾客满意度变化（顾客满意度由实施前的</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%变为</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%，消费投诉</w:t>
      </w:r>
      <w:r>
        <w:rPr>
          <w:rFonts w:hint="eastAsia" w:ascii="仿宋_GB2312" w:hAnsi="仿宋_GB2312" w:eastAsia="仿宋_GB2312" w:cs="仿宋_GB2312"/>
          <w:b w:val="0"/>
          <w:bCs w:val="0"/>
          <w:sz w:val="28"/>
          <w:szCs w:val="28"/>
          <w:lang w:val="en-US" w:eastAsia="zh-CN"/>
        </w:rPr>
        <w:t>由实施前的</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次变为</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次）</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54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就业变化（人员由实施前的</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人变为</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人</w:t>
      </w:r>
      <w:r>
        <w:rPr>
          <w:rFonts w:hint="eastAsia" w:ascii="仿宋_GB2312" w:hAnsi="仿宋_GB2312" w:eastAsia="仿宋_GB2312" w:cs="仿宋_GB2312"/>
          <w:b w:val="0"/>
          <w:bCs w:val="0"/>
          <w:sz w:val="28"/>
          <w:szCs w:val="28"/>
          <w:lang w:val="en-US" w:eastAsia="zh-CN"/>
        </w:rPr>
        <w:t>）</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540" w:firstLineChars="200"/>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事故发生及死伤情况变化（事故次数由实施前的</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次变为</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次，死伤人数</w:t>
      </w:r>
      <w:r>
        <w:rPr>
          <w:rFonts w:hint="eastAsia" w:ascii="仿宋_GB2312" w:hAnsi="仿宋_GB2312" w:eastAsia="仿宋_GB2312" w:cs="仿宋_GB2312"/>
          <w:b w:val="0"/>
          <w:bCs w:val="0"/>
          <w:sz w:val="28"/>
          <w:szCs w:val="28"/>
          <w:lang w:val="en-US" w:eastAsia="zh-CN"/>
        </w:rPr>
        <w:t>由实施前的</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人变为</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none"/>
          <w:lang w:val="en-US" w:eastAsia="zh-CN"/>
        </w:rPr>
        <w:t>人</w:t>
      </w:r>
      <w:r>
        <w:rPr>
          <w:rFonts w:hint="eastAsia" w:ascii="仿宋_GB2312" w:hAnsi="仿宋_GB2312" w:eastAsia="仿宋_GB2312" w:cs="仿宋_GB2312"/>
          <w:b w:val="0"/>
          <w:bCs w:val="0"/>
          <w:sz w:val="28"/>
          <w:szCs w:val="28"/>
          <w:lang w:val="en-US" w:eastAsia="zh-CN"/>
        </w:rPr>
        <w:t>）</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54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资源节约变化（实施标准后每年节约能源</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吨标准煤，节约水资源</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吨，节约材料</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吨）</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54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生态环境指标变化（实施标准后每年减排污染物</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吨，减排二氧化碳</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吨）</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是否就该标准的使用，组织或参与过标准宣贯或其他培训</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组织</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参与</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否</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需要采取哪些方式更好地宣贯强制性国家标准（可多选）</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一图读懂</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小视频  </w:t>
      </w:r>
      <w:r>
        <w:rPr>
          <w:rFonts w:hint="eastAsia" w:ascii="仿宋_GB2312" w:hAnsi="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标准解读材料</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专家讲解课件</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媒体宣传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在线培训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宣贯会</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采取了哪些措施用于推动符合标准（可多选）</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内部质量控制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cs="仿宋_GB2312"/>
          <w:b w:val="0"/>
          <w:bCs w:val="0"/>
          <w:sz w:val="28"/>
          <w:szCs w:val="28"/>
          <w:lang w:val="en-US" w:eastAsia="zh-CN"/>
        </w:rPr>
        <w:t xml:space="preserve">检验检测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cs="仿宋_GB2312"/>
          <w:b w:val="0"/>
          <w:bCs w:val="0"/>
          <w:sz w:val="28"/>
          <w:szCs w:val="28"/>
          <w:lang w:val="en-US" w:eastAsia="zh-CN"/>
        </w:rPr>
        <w:t xml:space="preserve">监督执法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认证</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标准的适用范围对当前产业发展所涉及的技术、产品、业态等的覆盖情况</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全部覆盖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大量覆盖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较少覆盖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未覆盖</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标准技术指标</w:t>
      </w:r>
      <w:r>
        <w:rPr>
          <w:rFonts w:hint="eastAsia" w:ascii="仿宋_GB2312" w:hAnsi="仿宋_GB2312" w:cs="仿宋_GB2312"/>
          <w:b w:val="0"/>
          <w:bCs w:val="0"/>
          <w:sz w:val="28"/>
          <w:szCs w:val="28"/>
          <w:lang w:val="en-US" w:eastAsia="zh-CN"/>
        </w:rPr>
        <w:t>是否</w:t>
      </w:r>
      <w:r>
        <w:rPr>
          <w:rFonts w:hint="eastAsia" w:ascii="仿宋_GB2312" w:hAnsi="仿宋_GB2312" w:eastAsia="仿宋_GB2312" w:cs="仿宋_GB2312"/>
          <w:b w:val="0"/>
          <w:bCs w:val="0"/>
          <w:sz w:val="28"/>
          <w:szCs w:val="28"/>
          <w:lang w:val="en-US" w:eastAsia="zh-CN"/>
        </w:rPr>
        <w:t>全面性，标准技术要求</w:t>
      </w:r>
      <w:r>
        <w:rPr>
          <w:rFonts w:hint="eastAsia" w:ascii="仿宋_GB2312" w:hAnsi="仿宋_GB2312" w:cs="仿宋_GB2312"/>
          <w:b w:val="0"/>
          <w:bCs w:val="0"/>
          <w:sz w:val="28"/>
          <w:szCs w:val="28"/>
          <w:lang w:val="en-US" w:eastAsia="zh-CN"/>
        </w:rPr>
        <w:t>是否</w:t>
      </w:r>
      <w:r>
        <w:rPr>
          <w:rFonts w:hint="eastAsia" w:ascii="仿宋_GB2312" w:hAnsi="仿宋_GB2312" w:eastAsia="仿宋_GB2312" w:cs="仿宋_GB2312"/>
          <w:b w:val="0"/>
          <w:bCs w:val="0"/>
          <w:sz w:val="28"/>
          <w:szCs w:val="28"/>
          <w:lang w:val="en-US" w:eastAsia="zh-CN"/>
        </w:rPr>
        <w:t>合理性</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规定技术指标全面，技术要求合理  </w:t>
      </w:r>
      <w:r>
        <w:rPr>
          <w:rFonts w:hint="eastAsia" w:ascii="仿宋_GB2312" w:hAnsi="仿宋_GB2312" w:eastAsia="仿宋_GB2312" w:cs="仿宋_GB2312"/>
          <w:b w:val="0"/>
          <w:bCs w:val="0"/>
          <w:sz w:val="28"/>
          <w:szCs w:val="28"/>
          <w:lang w:val="en-US" w:eastAsia="zh-CN"/>
        </w:rPr>
        <w:tab/>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规定技术指标不全面，技术要求不合理，具体问题描述：</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u w:val="thick"/>
          <w:lang w:val="en-US" w:eastAsia="zh-CN"/>
        </w:rPr>
        <w:t xml:space="preserve">                </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标准中引用的检测方法是否符合标准使用需要</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符合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符合，但引用的方法标准有更新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不符合 </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标准的技术要求或指标是否明确、清晰、无歧义</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是  </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否，请列明具体问题：</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lang w:val="en-US" w:eastAsia="zh-CN"/>
        </w:rPr>
        <w:t xml:space="preserve"> </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标准使用中是否需要其他标准</w:t>
      </w:r>
      <w:r>
        <w:rPr>
          <w:rFonts w:hint="eastAsia" w:ascii="仿宋_GB2312" w:hAnsi="仿宋_GB2312" w:cs="仿宋_GB2312"/>
          <w:b w:val="0"/>
          <w:bCs w:val="0"/>
          <w:sz w:val="28"/>
          <w:szCs w:val="28"/>
          <w:lang w:val="en-US" w:eastAsia="zh-CN"/>
        </w:rPr>
        <w:t>配套</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u w:val="thick"/>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是，已</w:t>
      </w:r>
      <w:r>
        <w:rPr>
          <w:rFonts w:hint="eastAsia" w:ascii="仿宋_GB2312" w:hAnsi="仿宋_GB2312" w:cs="仿宋_GB2312"/>
          <w:b w:val="0"/>
          <w:bCs w:val="0"/>
          <w:sz w:val="28"/>
          <w:szCs w:val="28"/>
          <w:lang w:val="en-US" w:eastAsia="zh-CN"/>
        </w:rPr>
        <w:t>配套</w:t>
      </w:r>
      <w:r>
        <w:rPr>
          <w:rFonts w:hint="eastAsia" w:ascii="仿宋_GB2312" w:hAnsi="仿宋_GB2312" w:eastAsia="仿宋_GB2312" w:cs="仿宋_GB2312"/>
          <w:b w:val="0"/>
          <w:bCs w:val="0"/>
          <w:sz w:val="28"/>
          <w:szCs w:val="28"/>
          <w:lang w:val="en-US" w:eastAsia="zh-CN"/>
        </w:rPr>
        <w:t>，请列明具体标准编号或名称</w:t>
      </w: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u w:val="thick"/>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是，未</w:t>
      </w:r>
      <w:r>
        <w:rPr>
          <w:rFonts w:hint="eastAsia" w:ascii="仿宋_GB2312" w:hAnsi="仿宋_GB2312" w:cs="仿宋_GB2312"/>
          <w:b w:val="0"/>
          <w:bCs w:val="0"/>
          <w:sz w:val="28"/>
          <w:szCs w:val="28"/>
          <w:lang w:val="en-US" w:eastAsia="zh-CN"/>
        </w:rPr>
        <w:t>配套</w:t>
      </w:r>
      <w:r>
        <w:rPr>
          <w:rFonts w:hint="eastAsia" w:ascii="仿宋_GB2312" w:hAnsi="仿宋_GB2312" w:eastAsia="仿宋_GB2312" w:cs="仿宋_GB2312"/>
          <w:b w:val="0"/>
          <w:bCs w:val="0"/>
          <w:sz w:val="28"/>
          <w:szCs w:val="28"/>
          <w:lang w:val="en-US" w:eastAsia="zh-CN"/>
        </w:rPr>
        <w:t>，请列明建议标准项目名称</w:t>
      </w:r>
      <w:r>
        <w:rPr>
          <w:rFonts w:hint="eastAsia" w:ascii="仿宋_GB2312" w:hAnsi="仿宋_GB2312" w:eastAsia="仿宋_GB2312" w:cs="仿宋_GB2312"/>
          <w:b w:val="0"/>
          <w:bCs w:val="0"/>
          <w:sz w:val="28"/>
          <w:szCs w:val="28"/>
          <w:u w:val="single"/>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否 </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针对标准中的要求或指标是否需要改变相关产品的设计方案</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是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否 </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针对标准中的要求或指标是否需要调整产品生产的工艺流程或工艺设备</w:t>
      </w:r>
    </w:p>
    <w:p>
      <w:pPr>
        <w:keepNext w:val="0"/>
        <w:keepLines w:val="0"/>
        <w:pageBreakBefore w:val="0"/>
        <w:widowControl w:val="0"/>
        <w:numPr>
          <w:ilvl w:val="0"/>
          <w:numId w:val="0"/>
        </w:numPr>
        <w:kinsoku/>
        <w:wordWrap/>
        <w:overflowPunct w:val="0"/>
        <w:topLinePunct w:val="0"/>
        <w:autoSpaceDE/>
        <w:autoSpaceDN/>
        <w:bidi w:val="0"/>
        <w:adjustRightInd/>
        <w:snapToGrid/>
        <w:spacing w:line="570" w:lineRule="exact"/>
        <w:ind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是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否 </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需要调整的工艺流程或工艺设备的成本投入情况</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54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非常大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较大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一般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影响不大</w:t>
      </w:r>
    </w:p>
    <w:p>
      <w:pPr>
        <w:keepNext w:val="0"/>
        <w:keepLines w:val="0"/>
        <w:pageBreakBefore w:val="0"/>
        <w:widowControl w:val="0"/>
        <w:numPr>
          <w:ilvl w:val="0"/>
          <w:numId w:val="7"/>
        </w:numPr>
        <w:kinsoku/>
        <w:wordWrap/>
        <w:overflowPunct w:val="0"/>
        <w:topLinePunct w:val="0"/>
        <w:autoSpaceDE/>
        <w:autoSpaceDN/>
        <w:bidi w:val="0"/>
        <w:adjustRightInd/>
        <w:snapToGrid/>
        <w:spacing w:line="570" w:lineRule="exact"/>
        <w:ind w:left="-200" w:leftChars="0" w:firstLine="54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产品、过程或服务不满足标准的主要原因（可多选）</w:t>
      </w:r>
    </w:p>
    <w:p>
      <w:pPr>
        <w:pStyle w:val="8"/>
        <w:keepNext w:val="0"/>
        <w:keepLines w:val="0"/>
        <w:pageBreakBefore w:val="0"/>
        <w:widowControl w:val="0"/>
        <w:kinsoku/>
        <w:wordWrap/>
        <w:overflowPunct w:val="0"/>
        <w:topLinePunct w:val="0"/>
        <w:autoSpaceDE/>
        <w:autoSpaceDN/>
        <w:bidi w:val="0"/>
        <w:adjustRightInd/>
        <w:snapToGrid/>
        <w:spacing w:line="570" w:lineRule="exact"/>
        <w:ind w:left="0" w:leftChars="0" w:firstLine="540" w:firstLineChars="200"/>
        <w:textAlignment w:val="auto"/>
        <w:rPr>
          <w:rFonts w:hint="eastAsia" w:ascii="仿宋_GB2312" w:hAnsi="仿宋_GB2312" w:eastAsia="仿宋_GB2312" w:cs="仿宋_GB2312"/>
          <w:b w:val="0"/>
          <w:bCs w:val="0"/>
          <w:sz w:val="28"/>
          <w:szCs w:val="28"/>
          <w:lang w:val="en-US" w:eastAsia="zh-CN"/>
        </w:rPr>
        <w:sectPr>
          <w:pgSz w:w="11906" w:h="16838"/>
          <w:pgMar w:top="1984" w:right="1474" w:bottom="1644" w:left="1474" w:header="851" w:footer="1191" w:gutter="0"/>
          <w:paperSrc/>
          <w:pgBorders>
            <w:top w:val="none" w:sz="0" w:space="0"/>
            <w:left w:val="none" w:sz="0" w:space="0"/>
            <w:bottom w:val="none" w:sz="0" w:space="0"/>
            <w:right w:val="none" w:sz="0" w:space="0"/>
          </w:pgBorders>
          <w:pgNumType w:fmt="decimal"/>
          <w:cols w:space="720" w:num="1"/>
          <w:rtlGutter w:val="0"/>
          <w:docGrid w:type="linesAndChars" w:linePitch="288" w:charSpace="-2240"/>
        </w:sect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缺少符合新标准的技术工艺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生产控制难度大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 标准掌握不到位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符合新标准的产品没市场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标准实施前已上市的产品尚未消化完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管理不到位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缺少掌握新标准的管理及技术人员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标准不符合实际情况</w:t>
      </w:r>
    </w:p>
    <w:p>
      <w:pPr>
        <w:keepNext w:val="0"/>
        <w:keepLines w:val="0"/>
        <w:pageBreakBefore w:val="0"/>
        <w:widowControl w:val="0"/>
        <w:kinsoku/>
        <w:wordWrap/>
        <w:overflowPunct w:val="0"/>
        <w:topLinePunct w:val="0"/>
        <w:autoSpaceDE/>
        <w:autoSpaceDN/>
        <w:bidi w:val="0"/>
        <w:adjustRightInd/>
        <w:snapToGrid/>
        <w:spacing w:line="594" w:lineRule="exact"/>
        <w:ind w:firstLine="0" w:firstLineChars="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附件2.3</w:t>
      </w:r>
    </w:p>
    <w:p>
      <w:pPr>
        <w:keepNext w:val="0"/>
        <w:keepLines w:val="0"/>
        <w:pageBreakBefore w:val="0"/>
        <w:widowControl w:val="0"/>
        <w:kinsoku/>
        <w:wordWrap/>
        <w:overflowPunct w:val="0"/>
        <w:topLinePunct w:val="0"/>
        <w:autoSpaceDE/>
        <w:autoSpaceDN/>
        <w:bidi w:val="0"/>
        <w:adjustRightInd/>
        <w:snapToGrid/>
        <w:spacing w:line="594" w:lineRule="exact"/>
        <w:ind w:firstLine="0" w:firstLineChars="0"/>
        <w:jc w:val="center"/>
        <w:textAlignment w:val="auto"/>
        <w:rPr>
          <w:rFonts w:hint="eastAsia" w:ascii="黑体" w:hAnsi="黑体" w:eastAsia="黑体" w:cs="黑体"/>
          <w:b w:val="0"/>
          <w:bCs w:val="0"/>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94" w:lineRule="exact"/>
        <w:ind w:firstLine="0" w:firstLineChars="0"/>
        <w:jc w:val="center"/>
        <w:textAlignment w:val="auto"/>
        <w:rPr>
          <w:rFonts w:hint="eastAsia" w:ascii="微软雅黑" w:hAnsi="微软雅黑" w:eastAsia="微软雅黑" w:cs="微软雅黑"/>
          <w:b w:val="0"/>
          <w:bCs w:val="0"/>
          <w:sz w:val="44"/>
          <w:szCs w:val="44"/>
          <w:highlight w:val="none"/>
          <w:lang w:val="en-US" w:eastAsia="zh-CN"/>
        </w:rPr>
      </w:pPr>
      <w:r>
        <w:rPr>
          <w:rFonts w:hint="eastAsia" w:ascii="微软雅黑" w:hAnsi="微软雅黑" w:eastAsia="微软雅黑" w:cs="微软雅黑"/>
          <w:b w:val="0"/>
          <w:bCs w:val="0"/>
          <w:sz w:val="44"/>
          <w:szCs w:val="44"/>
          <w:highlight w:val="none"/>
          <w:lang w:val="en-US" w:eastAsia="zh-CN"/>
        </w:rPr>
        <w:t>消费者调查问卷（参考模板）</w:t>
      </w:r>
    </w:p>
    <w:p>
      <w:pPr>
        <w:pStyle w:val="2"/>
        <w:rPr>
          <w:rFonts w:hint="eastAsia"/>
          <w:lang w:val="en-US" w:eastAsia="zh-CN"/>
        </w:rPr>
      </w:pPr>
    </w:p>
    <w:p>
      <w:pPr>
        <w:keepNext w:val="0"/>
        <w:keepLines w:val="0"/>
        <w:pageBreakBefore w:val="0"/>
        <w:widowControl w:val="0"/>
        <w:kinsoku/>
        <w:wordWrap/>
        <w:overflowPunct w:val="0"/>
        <w:topLinePunct w:val="0"/>
        <w:autoSpaceDE/>
        <w:autoSpaceDN/>
        <w:bidi w:val="0"/>
        <w:adjustRightInd/>
        <w:snapToGrid/>
        <w:spacing w:line="594"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为</w:t>
      </w:r>
      <w:r>
        <w:rPr>
          <w:rFonts w:hint="eastAsia" w:ascii="仿宋_GB2312" w:hAnsi="仿宋_GB2312" w:eastAsia="仿宋_GB2312" w:cs="仿宋_GB2312"/>
          <w:sz w:val="28"/>
          <w:szCs w:val="28"/>
          <w:lang w:eastAsia="zh-CN"/>
        </w:rPr>
        <w:t>更好发挥强制性标准对人民群众身体健康和生命财产安全的保障作用，我们拟全面了解</w:t>
      </w:r>
      <w:r>
        <w:rPr>
          <w:rFonts w:hint="default" w:ascii="Times New Roman" w:hAnsi="Times New Roman" w:eastAsia="仿宋_GB2312" w:cs="Times New Roman"/>
          <w:sz w:val="28"/>
          <w:szCs w:val="28"/>
          <w:lang w:val="en-US" w:eastAsia="zh-CN"/>
        </w:rPr>
        <w:t>GB XXXX—XXXX《XXXX</w:t>
      </w:r>
      <w:r>
        <w:rPr>
          <w:rFonts w:hint="eastAsia" w:ascii="仿宋_GB2312" w:hAnsi="仿宋_GB2312" w:eastAsia="仿宋_GB2312" w:cs="仿宋_GB2312"/>
          <w:sz w:val="28"/>
          <w:szCs w:val="28"/>
          <w:lang w:val="en-US" w:eastAsia="zh-CN"/>
        </w:rPr>
        <w:t>》强制性国家标准的实施情况，</w:t>
      </w:r>
      <w:r>
        <w:rPr>
          <w:rFonts w:hint="eastAsia" w:ascii="仿宋_GB2312" w:hAnsi="仿宋_GB2312" w:eastAsia="仿宋_GB2312" w:cs="仿宋_GB2312"/>
          <w:sz w:val="28"/>
          <w:szCs w:val="28"/>
        </w:rPr>
        <w:t>诚</w:t>
      </w:r>
      <w:r>
        <w:rPr>
          <w:rFonts w:hint="eastAsia" w:ascii="仿宋_GB2312" w:hAnsi="仿宋_GB2312" w:eastAsia="仿宋_GB2312" w:cs="仿宋_GB2312"/>
          <w:sz w:val="28"/>
          <w:szCs w:val="28"/>
          <w:lang w:val="en-US" w:eastAsia="zh-CN"/>
        </w:rPr>
        <w:t>邀您参与此调查问卷的</w:t>
      </w:r>
      <w:r>
        <w:rPr>
          <w:rFonts w:hint="eastAsia" w:ascii="仿宋_GB2312" w:hAnsi="仿宋_GB2312" w:eastAsia="仿宋_GB2312" w:cs="仿宋_GB2312"/>
          <w:sz w:val="28"/>
          <w:szCs w:val="28"/>
        </w:rPr>
        <w:t>填写，</w:t>
      </w:r>
      <w:r>
        <w:rPr>
          <w:rFonts w:hint="eastAsia" w:ascii="仿宋_GB2312" w:hAnsi="仿宋_GB2312" w:eastAsia="仿宋_GB2312" w:cs="仿宋_GB2312"/>
          <w:sz w:val="28"/>
          <w:szCs w:val="28"/>
          <w:lang w:val="en-US" w:eastAsia="zh-CN"/>
        </w:rPr>
        <w:t>非常感谢您的配合</w:t>
      </w:r>
      <w:r>
        <w:rPr>
          <w:rFonts w:hint="eastAsia" w:ascii="仿宋_GB2312" w:hAnsi="仿宋_GB2312" w:cs="仿宋_GB2312"/>
          <w:sz w:val="28"/>
          <w:szCs w:val="28"/>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560" w:firstLineChars="200"/>
        <w:jc w:val="left"/>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cs="仿宋_GB2312"/>
          <w:b w:val="0"/>
          <w:bCs w:val="0"/>
          <w:sz w:val="28"/>
          <w:szCs w:val="28"/>
          <w:u w:val="none"/>
          <w:lang w:val="en-US" w:eastAsia="zh-CN"/>
        </w:rPr>
        <w:t>1.</w:t>
      </w:r>
      <w:r>
        <w:rPr>
          <w:rFonts w:hint="eastAsia" w:ascii="仿宋_GB2312" w:hAnsi="仿宋_GB2312" w:eastAsia="仿宋_GB2312" w:cs="仿宋_GB2312"/>
          <w:b w:val="0"/>
          <w:bCs w:val="0"/>
          <w:sz w:val="28"/>
          <w:szCs w:val="28"/>
          <w:u w:val="none"/>
          <w:lang w:val="en-US" w:eastAsia="zh-CN"/>
        </w:rPr>
        <w:t>您是否了解</w:t>
      </w:r>
      <w:r>
        <w:rPr>
          <w:rFonts w:hint="eastAsia" w:ascii="仿宋_GB2312" w:hAnsi="仿宋_GB2312" w:eastAsia="仿宋_GB2312" w:cs="仿宋_GB2312"/>
          <w:sz w:val="28"/>
          <w:szCs w:val="28"/>
          <w:lang w:val="en-US" w:eastAsia="zh-CN"/>
        </w:rPr>
        <w:t>这项强制性国家标准</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left="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是</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否</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CN"/>
        </w:rPr>
        <w:t>您是否在购买产品服务或者维权过程中使用了这项强制性国家标准</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left="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是</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否</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560" w:firstLineChars="200"/>
        <w:jc w:val="left"/>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cs="仿宋_GB2312"/>
          <w:b w:val="0"/>
          <w:bCs w:val="0"/>
          <w:sz w:val="28"/>
          <w:szCs w:val="28"/>
          <w:u w:val="none"/>
          <w:lang w:val="en-US" w:eastAsia="zh-CN"/>
        </w:rPr>
        <w:t>3.</w:t>
      </w:r>
      <w:r>
        <w:rPr>
          <w:rFonts w:hint="eastAsia" w:ascii="仿宋_GB2312" w:hAnsi="仿宋_GB2312" w:eastAsia="仿宋_GB2312" w:cs="仿宋_GB2312"/>
          <w:b w:val="0"/>
          <w:bCs w:val="0"/>
          <w:sz w:val="28"/>
          <w:szCs w:val="28"/>
          <w:u w:val="none"/>
          <w:lang w:val="en-US" w:eastAsia="zh-CN"/>
        </w:rPr>
        <w:t>您是否认为</w:t>
      </w:r>
      <w:r>
        <w:rPr>
          <w:rFonts w:hint="eastAsia" w:ascii="仿宋_GB2312" w:hAnsi="仿宋_GB2312" w:eastAsia="仿宋_GB2312" w:cs="仿宋_GB2312"/>
          <w:sz w:val="28"/>
          <w:szCs w:val="28"/>
          <w:lang w:val="en-US" w:eastAsia="zh-CN"/>
        </w:rPr>
        <w:t>这项强制性国家标准技术内容清晰易懂</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left="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是</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否</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560" w:firstLineChars="200"/>
        <w:jc w:val="left"/>
        <w:textAlignment w:val="auto"/>
        <w:rPr>
          <w:rFonts w:hint="eastAsia" w:ascii="仿宋_GB2312" w:hAnsi="仿宋_GB2312" w:eastAsia="仿宋_GB2312" w:cs="仿宋_GB2312"/>
          <w:b w:val="0"/>
          <w:bCs w:val="0"/>
          <w:sz w:val="28"/>
          <w:szCs w:val="28"/>
          <w:u w:val="none"/>
          <w:lang w:val="en-US" w:eastAsia="zh-CN"/>
        </w:rPr>
      </w:pPr>
      <w:r>
        <w:rPr>
          <w:rFonts w:hint="eastAsia" w:ascii="仿宋_GB2312" w:hAnsi="仿宋_GB2312" w:cs="仿宋_GB2312"/>
          <w:b w:val="0"/>
          <w:bCs w:val="0"/>
          <w:sz w:val="28"/>
          <w:szCs w:val="28"/>
          <w:u w:val="none"/>
          <w:lang w:val="en-US" w:eastAsia="zh-CN"/>
        </w:rPr>
        <w:t>4.</w:t>
      </w:r>
      <w:r>
        <w:rPr>
          <w:rFonts w:hint="eastAsia" w:ascii="仿宋_GB2312" w:hAnsi="仿宋_GB2312" w:eastAsia="仿宋_GB2312" w:cs="仿宋_GB2312"/>
          <w:b w:val="0"/>
          <w:bCs w:val="0"/>
          <w:sz w:val="28"/>
          <w:szCs w:val="28"/>
          <w:u w:val="none"/>
          <w:lang w:val="en-US" w:eastAsia="zh-CN"/>
        </w:rPr>
        <w:t>您是否学习过</w:t>
      </w:r>
      <w:r>
        <w:rPr>
          <w:rFonts w:hint="eastAsia" w:ascii="仿宋_GB2312" w:hAnsi="仿宋_GB2312" w:eastAsia="仿宋_GB2312" w:cs="仿宋_GB2312"/>
          <w:sz w:val="28"/>
          <w:szCs w:val="28"/>
          <w:lang w:val="en-US" w:eastAsia="zh-CN"/>
        </w:rPr>
        <w:t>这项强制性国家标准</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left="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是</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否</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5.</w:t>
      </w:r>
      <w:r>
        <w:rPr>
          <w:rFonts w:hint="eastAsia" w:ascii="仿宋_GB2312" w:hAnsi="仿宋_GB2312" w:eastAsia="仿宋_GB2312" w:cs="仿宋_GB2312"/>
          <w:b w:val="0"/>
          <w:bCs w:val="0"/>
          <w:sz w:val="28"/>
          <w:szCs w:val="28"/>
          <w:lang w:val="en-US" w:eastAsia="zh-CN"/>
        </w:rPr>
        <w:t>您</w:t>
      </w:r>
      <w:r>
        <w:rPr>
          <w:rFonts w:hint="eastAsia" w:ascii="仿宋_GB2312" w:hAnsi="仿宋_GB2312" w:eastAsia="仿宋_GB2312" w:cs="仿宋_GB2312"/>
          <w:b w:val="0"/>
          <w:bCs w:val="0"/>
          <w:spacing w:val="-6"/>
          <w:sz w:val="28"/>
          <w:szCs w:val="28"/>
          <w:lang w:val="en-US" w:eastAsia="zh-CN"/>
        </w:rPr>
        <w:t>认为这项强制性国家标准是否能满足保障人身健康和财产安全需要</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left="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能</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不能</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仿宋_GB2312" w:hAnsi="仿宋_GB2312" w:cs="仿宋_GB2312"/>
          <w:sz w:val="28"/>
          <w:szCs w:val="28"/>
          <w:u w:val="none"/>
          <w:lang w:val="en-US" w:eastAsia="zh-CN"/>
        </w:rPr>
        <w:t>6.</w:t>
      </w:r>
      <w:r>
        <w:rPr>
          <w:rFonts w:hint="eastAsia" w:ascii="仿宋_GB2312" w:hAnsi="仿宋_GB2312" w:eastAsia="仿宋_GB2312" w:cs="仿宋_GB2312"/>
          <w:sz w:val="28"/>
          <w:szCs w:val="28"/>
          <w:u w:val="none"/>
          <w:lang w:val="en-US" w:eastAsia="zh-CN"/>
        </w:rPr>
        <w:t>您认为需要采取哪些方式更好地宣贯强制性国家标准（可多选）</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left="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一图读懂</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小视频  </w:t>
      </w:r>
      <w:r>
        <w:rPr>
          <w:rFonts w:hint="eastAsia" w:ascii="仿宋_GB2312" w:hAnsi="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标准解读材料</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专家讲解课件</w:t>
      </w:r>
    </w:p>
    <w:p>
      <w:pPr>
        <w:pStyle w:val="8"/>
        <w:keepNext w:val="0"/>
        <w:keepLines w:val="0"/>
        <w:pageBreakBefore w:val="0"/>
        <w:widowControl w:val="0"/>
        <w:kinsoku/>
        <w:wordWrap/>
        <w:overflowPunct w:val="0"/>
        <w:topLinePunct w:val="0"/>
        <w:autoSpaceDE/>
        <w:autoSpaceDN/>
        <w:bidi w:val="0"/>
        <w:adjustRightInd/>
        <w:snapToGrid/>
        <w:spacing w:line="594"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媒体宣传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在线培训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宣贯会     </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仿宋_GB2312" w:hAnsi="仿宋_GB2312" w:cs="仿宋_GB2312"/>
          <w:sz w:val="28"/>
          <w:szCs w:val="28"/>
          <w:u w:val="none"/>
          <w:lang w:val="en-US" w:eastAsia="zh-CN"/>
        </w:rPr>
        <w:t>7.</w:t>
      </w:r>
      <w:r>
        <w:rPr>
          <w:rFonts w:hint="eastAsia" w:ascii="仿宋_GB2312" w:hAnsi="仿宋_GB2312" w:eastAsia="仿宋_GB2312" w:cs="仿宋_GB2312"/>
          <w:sz w:val="28"/>
          <w:szCs w:val="28"/>
          <w:u w:val="none"/>
          <w:lang w:val="en-US" w:eastAsia="zh-CN"/>
        </w:rPr>
        <w:t>您是否认为这项强制性国家标准得到较好实施</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left="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是</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否</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仿宋_GB2312" w:hAnsi="仿宋_GB2312" w:cs="仿宋_GB2312"/>
          <w:sz w:val="28"/>
          <w:szCs w:val="28"/>
          <w:u w:val="none"/>
          <w:lang w:val="en-US" w:eastAsia="zh-CN"/>
        </w:rPr>
        <w:t>8.</w:t>
      </w:r>
      <w:r>
        <w:rPr>
          <w:rFonts w:hint="eastAsia" w:ascii="仿宋_GB2312" w:hAnsi="仿宋_GB2312" w:eastAsia="仿宋_GB2312" w:cs="仿宋_GB2312"/>
          <w:sz w:val="28"/>
          <w:szCs w:val="28"/>
          <w:u w:val="none"/>
          <w:lang w:val="en-US" w:eastAsia="zh-CN"/>
        </w:rPr>
        <w:t>您认为市场上销售的产品是否满足这项强制性国家标准要求</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left="0" w:firstLine="560" w:firstLineChars="200"/>
        <w:jc w:val="left"/>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基本上都满足</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部分满足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大多数都不满足</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仿宋_GB2312" w:hAnsi="仿宋_GB2312" w:cs="仿宋_GB2312"/>
          <w:sz w:val="28"/>
          <w:szCs w:val="28"/>
          <w:u w:val="none"/>
          <w:lang w:val="en-US" w:eastAsia="zh-CN"/>
        </w:rPr>
        <w:t>9.</w:t>
      </w:r>
      <w:r>
        <w:rPr>
          <w:rFonts w:hint="eastAsia" w:ascii="仿宋_GB2312" w:hAnsi="仿宋_GB2312" w:eastAsia="仿宋_GB2312" w:cs="仿宋_GB2312"/>
          <w:sz w:val="28"/>
          <w:szCs w:val="28"/>
          <w:u w:val="none"/>
          <w:lang w:val="en-US" w:eastAsia="zh-CN"/>
        </w:rPr>
        <w:t>您认为这项强制性国家标准的实施成效主要有哪些（可多选）</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left="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产品质量更好更安全</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产品标识和说明书更详细易懂</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left="0" w:firstLine="560" w:firstLineChars="200"/>
        <w:jc w:val="lef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安全提示警示更醒目</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没有发生过产品安全事故</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560" w:firstLineChars="200"/>
        <w:jc w:val="left"/>
        <w:textAlignment w:val="auto"/>
        <w:rPr>
          <w:rFonts w:hint="eastAsia" w:ascii="仿宋_GB2312" w:hAnsi="仿宋_GB2312" w:eastAsia="仿宋_GB2312" w:cs="仿宋_GB2312"/>
          <w:sz w:val="28"/>
          <w:szCs w:val="28"/>
          <w:u w:val="none"/>
          <w:lang w:val="en-US" w:eastAsia="zh-CN"/>
        </w:rPr>
      </w:pPr>
      <w:r>
        <w:rPr>
          <w:rFonts w:hint="eastAsia" w:ascii="仿宋_GB2312" w:hAnsi="仿宋_GB2312" w:cs="仿宋_GB2312"/>
          <w:sz w:val="28"/>
          <w:szCs w:val="28"/>
          <w:u w:val="none"/>
          <w:lang w:val="en-US" w:eastAsia="zh-CN"/>
        </w:rPr>
        <w:t>10.</w:t>
      </w:r>
      <w:r>
        <w:rPr>
          <w:rFonts w:hint="eastAsia" w:ascii="仿宋_GB2312" w:hAnsi="仿宋_GB2312" w:eastAsia="仿宋_GB2312" w:cs="仿宋_GB2312"/>
          <w:sz w:val="28"/>
          <w:szCs w:val="28"/>
          <w:u w:val="none"/>
          <w:lang w:val="en-US" w:eastAsia="zh-CN"/>
        </w:rPr>
        <w:t>您认为这项强制性国家标准还需要做哪些改进（可多选）</w:t>
      </w:r>
    </w:p>
    <w:p>
      <w:pPr>
        <w:pStyle w:val="4"/>
        <w:keepNext w:val="0"/>
        <w:keepLines w:val="0"/>
        <w:pageBreakBefore w:val="0"/>
        <w:widowControl w:val="0"/>
        <w:kinsoku/>
        <w:wordWrap/>
        <w:overflowPunct w:val="0"/>
        <w:topLinePunct w:val="0"/>
        <w:autoSpaceDE/>
        <w:autoSpaceDN/>
        <w:bidi w:val="0"/>
        <w:adjustRightInd/>
        <w:snapToGrid/>
        <w:spacing w:beforeLines="0" w:afterLines="0" w:line="594"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完善标准技术内容</w:t>
      </w:r>
      <w:r>
        <w:rPr>
          <w:rFonts w:hint="eastAsia" w:ascii="仿宋_GB2312" w:hAnsi="仿宋_GB2312" w:eastAsia="仿宋_GB2312" w:cs="仿宋_GB2312"/>
          <w:b w:val="0"/>
          <w:bCs w:val="0"/>
          <w:sz w:val="28"/>
          <w:szCs w:val="28"/>
          <w:lang w:val="en-US" w:eastAsia="zh-CN"/>
        </w:rPr>
        <w:tab/>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 xml:space="preserve">强化标准实施宣贯   </w:t>
      </w:r>
      <w:r>
        <w:rPr>
          <w:rFonts w:hint="eastAsia" w:ascii="仿宋_GB2312" w:hAnsi="仿宋_GB2312" w:eastAsia="仿宋_GB2312" w:cs="仿宋_GB2312"/>
          <w:b w:val="0"/>
          <w:bCs w:val="0"/>
          <w:sz w:val="28"/>
          <w:szCs w:val="28"/>
          <w:lang w:val="en-US" w:eastAsia="zh-CN"/>
        </w:rPr>
        <w:sym w:font="Wingdings 2" w:char="00A3"/>
      </w:r>
      <w:r>
        <w:rPr>
          <w:rFonts w:hint="eastAsia" w:ascii="仿宋_GB2312" w:hAnsi="仿宋_GB2312" w:eastAsia="仿宋_GB2312" w:cs="仿宋_GB2312"/>
          <w:b w:val="0"/>
          <w:bCs w:val="0"/>
          <w:sz w:val="28"/>
          <w:szCs w:val="28"/>
          <w:lang w:val="en-US" w:eastAsia="zh-CN"/>
        </w:rPr>
        <w:t>加强监督执法</w:t>
      </w:r>
    </w:p>
    <w:p>
      <w:pPr>
        <w:rPr>
          <w:rFonts w:hint="eastAsia" w:ascii="仿宋_GB2312" w:hAnsi="仿宋_GB2312" w:eastAsia="仿宋_GB2312" w:cs="仿宋_GB2312"/>
          <w:b w:val="0"/>
          <w:bCs w:val="0"/>
          <w:sz w:val="28"/>
          <w:szCs w:val="28"/>
          <w:lang w:val="en-US" w:eastAsia="zh-CN"/>
        </w:rPr>
      </w:pPr>
    </w:p>
    <w:p>
      <w:pPr>
        <w:pStyle w:val="2"/>
        <w:rPr>
          <w:rFonts w:hint="eastAsia" w:ascii="仿宋_GB2312" w:hAnsi="仿宋_GB2312" w:eastAsia="仿宋_GB2312" w:cs="仿宋_GB2312"/>
          <w:b w:val="0"/>
          <w:bCs w:val="0"/>
          <w:sz w:val="28"/>
          <w:szCs w:val="28"/>
          <w:lang w:val="en-US" w:eastAsia="zh-CN"/>
        </w:rPr>
      </w:pPr>
    </w:p>
    <w:p>
      <w:pPr>
        <w:pStyle w:val="3"/>
        <w:rPr>
          <w:rFonts w:hint="eastAsia" w:ascii="仿宋_GB2312" w:hAnsi="仿宋_GB2312" w:eastAsia="仿宋_GB2312" w:cs="仿宋_GB2312"/>
          <w:b w:val="0"/>
          <w:bCs w:val="0"/>
          <w:sz w:val="28"/>
          <w:szCs w:val="28"/>
          <w:lang w:val="en-US" w:eastAsia="zh-CN"/>
        </w:rPr>
      </w:pPr>
    </w:p>
    <w:p>
      <w:pPr>
        <w:rPr>
          <w:rFonts w:hint="eastAsia" w:ascii="仿宋_GB2312" w:hAnsi="仿宋_GB2312" w:eastAsia="仿宋_GB2312" w:cs="仿宋_GB2312"/>
          <w:b w:val="0"/>
          <w:bCs w:val="0"/>
          <w:sz w:val="28"/>
          <w:szCs w:val="28"/>
          <w:lang w:val="en-US" w:eastAsia="zh-CN"/>
        </w:rPr>
      </w:pPr>
    </w:p>
    <w:p>
      <w:pPr>
        <w:pStyle w:val="2"/>
        <w:rPr>
          <w:rFonts w:hint="eastAsia" w:ascii="仿宋_GB2312" w:hAnsi="仿宋_GB2312" w:eastAsia="仿宋_GB2312" w:cs="仿宋_GB2312"/>
          <w:b w:val="0"/>
          <w:bCs w:val="0"/>
          <w:sz w:val="28"/>
          <w:szCs w:val="28"/>
          <w:lang w:val="en-US" w:eastAsia="zh-CN"/>
        </w:rPr>
      </w:pPr>
    </w:p>
    <w:p>
      <w:pPr>
        <w:pStyle w:val="3"/>
        <w:rPr>
          <w:rFonts w:hint="eastAsia" w:ascii="仿宋_GB2312" w:hAnsi="仿宋_GB2312" w:eastAsia="仿宋_GB2312" w:cs="仿宋_GB2312"/>
          <w:b w:val="0"/>
          <w:bCs w:val="0"/>
          <w:sz w:val="28"/>
          <w:szCs w:val="28"/>
          <w:lang w:val="en-US" w:eastAsia="zh-CN"/>
        </w:rPr>
      </w:pPr>
    </w:p>
    <w:p>
      <w:pPr>
        <w:rPr>
          <w:rFonts w:hint="eastAsia" w:ascii="仿宋_GB2312" w:hAnsi="仿宋_GB2312" w:eastAsia="仿宋_GB2312" w:cs="仿宋_GB2312"/>
          <w:b w:val="0"/>
          <w:bCs w:val="0"/>
          <w:sz w:val="28"/>
          <w:szCs w:val="28"/>
          <w:lang w:val="en-US" w:eastAsia="zh-CN"/>
        </w:rPr>
      </w:pPr>
    </w:p>
    <w:p>
      <w:pPr>
        <w:pStyle w:val="2"/>
        <w:rPr>
          <w:rFonts w:hint="eastAsia" w:ascii="仿宋_GB2312" w:hAnsi="仿宋_GB2312" w:eastAsia="仿宋_GB2312" w:cs="仿宋_GB2312"/>
          <w:b w:val="0"/>
          <w:bCs w:val="0"/>
          <w:sz w:val="28"/>
          <w:szCs w:val="28"/>
          <w:lang w:val="en-US" w:eastAsia="zh-CN"/>
        </w:rPr>
      </w:pPr>
    </w:p>
    <w:p>
      <w:pPr>
        <w:pStyle w:val="3"/>
        <w:rPr>
          <w:rFonts w:hint="eastAsia" w:ascii="仿宋_GB2312" w:hAnsi="仿宋_GB2312" w:eastAsia="仿宋_GB2312" w:cs="仿宋_GB2312"/>
          <w:b w:val="0"/>
          <w:bCs w:val="0"/>
          <w:sz w:val="28"/>
          <w:szCs w:val="28"/>
          <w:lang w:val="en-US" w:eastAsia="zh-CN"/>
        </w:rPr>
      </w:pPr>
    </w:p>
    <w:p>
      <w:pPr>
        <w:rPr>
          <w:rFonts w:hint="eastAsia" w:ascii="仿宋_GB2312" w:hAnsi="仿宋_GB2312" w:eastAsia="仿宋_GB2312" w:cs="仿宋_GB2312"/>
          <w:b w:val="0"/>
          <w:bCs w:val="0"/>
          <w:sz w:val="28"/>
          <w:szCs w:val="28"/>
          <w:lang w:val="en-US" w:eastAsia="zh-CN"/>
        </w:rPr>
      </w:pPr>
    </w:p>
    <w:p>
      <w:pPr>
        <w:pStyle w:val="2"/>
        <w:rPr>
          <w:rFonts w:hint="eastAsia" w:ascii="仿宋_GB2312" w:hAnsi="仿宋_GB2312" w:eastAsia="仿宋_GB2312" w:cs="仿宋_GB2312"/>
          <w:b w:val="0"/>
          <w:bCs w:val="0"/>
          <w:sz w:val="28"/>
          <w:szCs w:val="28"/>
          <w:lang w:val="en-US" w:eastAsia="zh-CN"/>
        </w:rPr>
      </w:pPr>
    </w:p>
    <w:p>
      <w:pPr>
        <w:pStyle w:val="3"/>
        <w:rPr>
          <w:rFonts w:hint="eastAsia" w:ascii="仿宋_GB2312" w:hAnsi="仿宋_GB2312" w:eastAsia="仿宋_GB2312" w:cs="仿宋_GB2312"/>
          <w:b w:val="0"/>
          <w:bCs w:val="0"/>
          <w:sz w:val="28"/>
          <w:szCs w:val="28"/>
          <w:lang w:val="en-US" w:eastAsia="zh-CN"/>
        </w:rPr>
      </w:pPr>
    </w:p>
    <w:p>
      <w:pPr>
        <w:rPr>
          <w:rFonts w:hint="eastAsia" w:ascii="仿宋_GB2312" w:hAnsi="仿宋_GB2312" w:eastAsia="仿宋_GB2312" w:cs="仿宋_GB2312"/>
          <w:b w:val="0"/>
          <w:bCs w:val="0"/>
          <w:sz w:val="28"/>
          <w:szCs w:val="28"/>
          <w:lang w:val="en-US" w:eastAsia="zh-CN"/>
        </w:rPr>
      </w:pPr>
    </w:p>
    <w:p>
      <w:pPr>
        <w:pStyle w:val="2"/>
        <w:rPr>
          <w:rFonts w:hint="eastAsia" w:ascii="仿宋_GB2312" w:hAnsi="仿宋_GB2312" w:eastAsia="仿宋_GB2312" w:cs="仿宋_GB2312"/>
          <w:b w:val="0"/>
          <w:bCs w:val="0"/>
          <w:sz w:val="28"/>
          <w:szCs w:val="28"/>
          <w:lang w:val="en-US" w:eastAsia="zh-CN"/>
        </w:rPr>
        <w:sectPr>
          <w:pgSz w:w="11906" w:h="16838"/>
          <w:pgMar w:top="1984" w:right="1474" w:bottom="1644" w:left="1474" w:header="851" w:footer="1191" w:gutter="0"/>
          <w:paperSrc/>
          <w:pgNumType w:fmt="decimal"/>
          <w:cols w:space="720" w:num="1"/>
          <w:rtlGutter w:val="0"/>
          <w:docGrid w:type="linesAndChars" w:linePitch="600" w:charSpace="-15"/>
        </w:sectPr>
      </w:pPr>
    </w:p>
    <w:p>
      <w:pPr>
        <w:pStyle w:val="3"/>
        <w:rPr>
          <w:rFonts w:hint="eastAsia"/>
          <w:lang w:val="en-US" w:eastAsia="zh-CN"/>
        </w:rPr>
      </w:pPr>
    </w:p>
    <w:p>
      <w:pPr>
        <w:pStyle w:val="3"/>
        <w:rPr>
          <w:rFonts w:hint="eastAsia" w:ascii="仿宋_GB2312" w:hAnsi="仿宋_GB2312" w:eastAsia="仿宋_GB2312" w:cs="仿宋_GB2312"/>
          <w:b w:val="0"/>
          <w:bCs w:val="0"/>
          <w:sz w:val="28"/>
          <w:szCs w:val="28"/>
          <w:lang w:val="en-US" w:eastAsia="zh-CN"/>
        </w:rPr>
      </w:pPr>
    </w:p>
    <w:p>
      <w:pPr>
        <w:rPr>
          <w:rFonts w:hint="eastAsia" w:ascii="仿宋_GB2312" w:hAnsi="仿宋_GB2312" w:eastAsia="仿宋_GB2312" w:cs="仿宋_GB2312"/>
          <w:b w:val="0"/>
          <w:bCs w:val="0"/>
          <w:sz w:val="28"/>
          <w:szCs w:val="28"/>
          <w:lang w:val="en-US" w:eastAsia="zh-CN"/>
        </w:rPr>
      </w:pPr>
    </w:p>
    <w:p>
      <w:pPr>
        <w:pStyle w:val="2"/>
        <w:rPr>
          <w:rFonts w:hint="eastAsia" w:ascii="仿宋_GB2312" w:hAnsi="仿宋_GB2312" w:eastAsia="仿宋_GB2312" w:cs="仿宋_GB2312"/>
          <w:b w:val="0"/>
          <w:bCs w:val="0"/>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575" w:beforeLines="200" w:after="0"/>
        <w:textAlignment w:val="auto"/>
        <w:rPr>
          <w:rFonts w:ascii="Times New Roman" w:hAnsi="Times New Roman" w:eastAsia="微软雅黑"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575" w:beforeLines="200" w:after="0"/>
        <w:textAlignment w:val="auto"/>
        <w:rPr>
          <w:rFonts w:ascii="Times New Roman" w:hAnsi="Times New Roman" w:eastAsia="微软雅黑"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157" w:beforeLines="50" w:after="0"/>
        <w:textAlignment w:val="auto"/>
        <w:rPr>
          <w:rFonts w:ascii="Times New Roman" w:hAnsi="Times New Roman" w:eastAsia="微软雅黑" w:cs="Times New Roman"/>
          <w:sz w:val="32"/>
          <w:szCs w:val="32"/>
        </w:rPr>
      </w:pPr>
    </w:p>
    <w:p>
      <w:pPr>
        <w:pStyle w:val="3"/>
        <w:rPr>
          <w:rFonts w:ascii="Times New Roman" w:hAnsi="Times New Roman" w:eastAsia="微软雅黑" w:cs="Times New Roman"/>
          <w:sz w:val="32"/>
          <w:szCs w:val="32"/>
        </w:rPr>
      </w:pPr>
    </w:p>
    <w:p>
      <w:pPr>
        <w:rPr>
          <w:rFonts w:ascii="Times New Roman" w:hAnsi="Times New Roman" w:eastAsia="微软雅黑" w:cs="Times New Roman"/>
          <w:sz w:val="32"/>
          <w:szCs w:val="32"/>
        </w:rPr>
      </w:pPr>
    </w:p>
    <w:p>
      <w:pPr>
        <w:pStyle w:val="2"/>
        <w:rPr>
          <w:rFonts w:ascii="Times New Roman" w:hAnsi="Times New Roman" w:eastAsia="微软雅黑" w:cs="Times New Roman"/>
          <w:sz w:val="32"/>
          <w:szCs w:val="32"/>
        </w:rPr>
      </w:pPr>
    </w:p>
    <w:p>
      <w:pPr>
        <w:pStyle w:val="3"/>
        <w:rPr>
          <w:rFonts w:ascii="Times New Roman" w:hAnsi="Times New Roman" w:eastAsia="微软雅黑" w:cs="Times New Roman"/>
          <w:sz w:val="32"/>
          <w:szCs w:val="32"/>
        </w:rPr>
      </w:pPr>
    </w:p>
    <w:p>
      <w:pPr>
        <w:rPr>
          <w:rFonts w:ascii="Times New Roman" w:hAnsi="Times New Roman" w:eastAsia="微软雅黑" w:cs="Times New Roman"/>
          <w:sz w:val="32"/>
          <w:szCs w:val="32"/>
        </w:rPr>
      </w:pPr>
    </w:p>
    <w:p>
      <w:pPr>
        <w:pStyle w:val="2"/>
        <w:rPr>
          <w:rFonts w:ascii="Times New Roman" w:hAnsi="Times New Roman" w:eastAsia="微软雅黑"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before="603" w:beforeLines="100" w:after="0" w:line="400" w:lineRule="exact"/>
        <w:textAlignment w:val="auto"/>
        <w:rPr>
          <w:rFonts w:ascii="Times New Roman" w:hAnsi="Times New Roman" w:eastAsia="微软雅黑" w:cs="Times New Roman"/>
          <w:sz w:val="32"/>
          <w:szCs w:val="32"/>
        </w:rPr>
      </w:pPr>
    </w:p>
    <w:p>
      <w:pPr>
        <w:pBdr>
          <w:top w:val="single" w:color="auto" w:sz="12" w:space="1"/>
          <w:bottom w:val="single" w:color="auto" w:sz="12" w:space="1"/>
        </w:pBdr>
        <w:tabs>
          <w:tab w:val="left" w:pos="1418"/>
          <w:tab w:val="left" w:pos="2552"/>
          <w:tab w:val="left" w:pos="2694"/>
        </w:tabs>
        <w:spacing w:line="500" w:lineRule="exact"/>
        <w:ind w:right="41" w:rightChars="13" w:firstLine="243" w:firstLineChars="87"/>
        <w:jc w:val="left"/>
        <w:rPr>
          <w:rFonts w:hint="eastAsia"/>
          <w:lang w:val="en-US" w:eastAsia="zh-CN"/>
        </w:rPr>
      </w:pPr>
      <w:r>
        <w:rPr>
          <w:rFonts w:ascii="Times New Roman" w:hAnsi="Times New Roman" w:eastAsia="微软雅黑" w:cs="Times New Roman"/>
          <w:kern w:val="0"/>
          <w:sz w:val="28"/>
          <w:szCs w:val="28"/>
        </w:rPr>
        <w:t>国家标准化管理委员会</w:t>
      </w:r>
      <w:r>
        <w:rPr>
          <w:rFonts w:hint="eastAsia" w:ascii="Times New Roman" w:hAnsi="Times New Roman" w:eastAsia="微软雅黑" w:cs="Times New Roman"/>
          <w:kern w:val="0"/>
          <w:sz w:val="28"/>
          <w:szCs w:val="28"/>
          <w:lang w:eastAsia="zh-CN"/>
        </w:rPr>
        <w:t>秘书处</w:t>
      </w:r>
      <w:r>
        <w:rPr>
          <w:rFonts w:ascii="Times New Roman" w:hAnsi="Times New Roman" w:eastAsia="微软雅黑" w:cs="Times New Roman"/>
          <w:kern w:val="0"/>
          <w:sz w:val="28"/>
          <w:szCs w:val="28"/>
        </w:rPr>
        <w:t xml:space="preserve">   </w:t>
      </w:r>
      <w:r>
        <w:rPr>
          <w:rFonts w:hint="eastAsia" w:ascii="Times New Roman" w:hAnsi="Times New Roman" w:eastAsia="微软雅黑" w:cs="Times New Roman"/>
          <w:kern w:val="0"/>
          <w:sz w:val="28"/>
          <w:szCs w:val="28"/>
        </w:rPr>
        <w:t xml:space="preserve"> </w:t>
      </w:r>
      <w:r>
        <w:rPr>
          <w:rFonts w:hint="eastAsia" w:ascii="Times New Roman" w:hAnsi="Times New Roman" w:eastAsia="微软雅黑" w:cs="Times New Roman"/>
          <w:kern w:val="0"/>
          <w:sz w:val="28"/>
          <w:szCs w:val="28"/>
          <w:lang w:val="en-US" w:eastAsia="zh-CN"/>
        </w:rPr>
        <w:t xml:space="preserve"> </w:t>
      </w:r>
      <w:r>
        <w:rPr>
          <w:rFonts w:hint="eastAsia" w:ascii="Times New Roman" w:hAnsi="Times New Roman" w:eastAsia="微软雅黑" w:cs="Times New Roman"/>
          <w:kern w:val="0"/>
          <w:sz w:val="28"/>
          <w:szCs w:val="28"/>
        </w:rPr>
        <w:t xml:space="preserve">      </w:t>
      </w:r>
      <w:r>
        <w:rPr>
          <w:rFonts w:ascii="Times New Roman" w:hAnsi="Times New Roman" w:eastAsia="微软雅黑" w:cs="Times New Roman"/>
          <w:kern w:val="0"/>
          <w:sz w:val="28"/>
          <w:szCs w:val="28"/>
        </w:rPr>
        <w:t xml:space="preserve">   20</w:t>
      </w:r>
      <w:r>
        <w:rPr>
          <w:rFonts w:hint="eastAsia" w:ascii="Times New Roman" w:hAnsi="Times New Roman" w:eastAsia="微软雅黑" w:cs="Times New Roman"/>
          <w:kern w:val="0"/>
          <w:sz w:val="28"/>
          <w:szCs w:val="28"/>
          <w:lang w:val="en-US" w:eastAsia="zh-CN"/>
        </w:rPr>
        <w:t>23</w:t>
      </w:r>
      <w:r>
        <w:rPr>
          <w:rFonts w:ascii="Times New Roman" w:hAnsi="Times New Roman" w:eastAsia="微软雅黑" w:cs="Times New Roman"/>
          <w:kern w:val="0"/>
          <w:sz w:val="28"/>
          <w:szCs w:val="28"/>
        </w:rPr>
        <w:t>年</w:t>
      </w:r>
      <w:r>
        <w:rPr>
          <w:rFonts w:hint="eastAsia" w:ascii="Times New Roman" w:hAnsi="Times New Roman" w:eastAsia="微软雅黑" w:cs="Times New Roman"/>
          <w:kern w:val="0"/>
          <w:sz w:val="28"/>
          <w:szCs w:val="28"/>
          <w:lang w:val="en-US" w:eastAsia="zh-CN"/>
        </w:rPr>
        <w:t>8</w:t>
      </w:r>
      <w:r>
        <w:rPr>
          <w:rFonts w:ascii="Times New Roman" w:hAnsi="Times New Roman" w:eastAsia="微软雅黑" w:cs="Times New Roman"/>
          <w:kern w:val="0"/>
          <w:sz w:val="28"/>
          <w:szCs w:val="28"/>
        </w:rPr>
        <w:t>月</w:t>
      </w:r>
      <w:r>
        <w:rPr>
          <w:rFonts w:hint="eastAsia" w:ascii="Times New Roman" w:hAnsi="Times New Roman" w:eastAsia="微软雅黑" w:cs="Times New Roman"/>
          <w:kern w:val="0"/>
          <w:sz w:val="28"/>
          <w:szCs w:val="28"/>
          <w:lang w:val="en-US" w:eastAsia="zh-CN"/>
        </w:rPr>
        <w:t>24</w:t>
      </w:r>
      <w:r>
        <w:rPr>
          <w:rFonts w:ascii="Times New Roman" w:hAnsi="Times New Roman" w:eastAsia="微软雅黑" w:cs="Times New Roman"/>
          <w:kern w:val="0"/>
          <w:sz w:val="28"/>
          <w:szCs w:val="28"/>
        </w:rPr>
        <w:t>日印发</w:t>
      </w:r>
    </w:p>
    <w:sectPr>
      <w:footerReference r:id="rId17" w:type="default"/>
      <w:footerReference r:id="rId18" w:type="even"/>
      <w:pgSz w:w="11906" w:h="16838"/>
      <w:pgMar w:top="1984" w:right="1474" w:bottom="1644" w:left="1474" w:header="851" w:footer="1191" w:gutter="0"/>
      <w:paperSrc/>
      <w:pgNumType w:fmt="decimal"/>
      <w:cols w:space="720" w:num="1"/>
      <w:rtlGutter w:val="0"/>
      <w:docGrid w:type="linesAndChars" w:linePitch="600" w:charSpace="-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20"/>
      </w:pPr>
      <w:r>
        <w:separator/>
      </w:r>
    </w:p>
  </w:endnote>
  <w:endnote w:type="continuationSeparator" w:id="1">
    <w:p>
      <w:pPr>
        <w:ind w:firstLine="6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BE330F-94C1-443C-9C84-7B0D279CE8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F79373D-A717-4182-A08C-70ECDF72687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3" w:fontKey="{5EF79A05-5496-4D44-A040-89D30FDC9896}"/>
  </w:font>
  <w:font w:name="仿宋">
    <w:panose1 w:val="02010609060101010101"/>
    <w:charset w:val="86"/>
    <w:family w:val="auto"/>
    <w:pitch w:val="default"/>
    <w:sig w:usb0="800002BF" w:usb1="38CF7CFA" w:usb2="00000016" w:usb3="00000000" w:csb0="00040001" w:csb1="00000000"/>
    <w:embedRegular r:id="rId4" w:fontKey="{31372470-431B-4476-B6A8-4BFCC8BDB485}"/>
  </w:font>
  <w:font w:name="Wingdings 2">
    <w:panose1 w:val="05020102010507070707"/>
    <w:charset w:val="02"/>
    <w:family w:val="auto"/>
    <w:pitch w:val="default"/>
    <w:sig w:usb0="00000000" w:usb1="00000000" w:usb2="00000000" w:usb3="00000000" w:csb0="80000000" w:csb1="00000000"/>
    <w:embedRegular r:id="rId5" w:fontKey="{4F56E3F4-6FA5-420E-804A-B1BC1B770AE3}"/>
  </w:font>
  <w:font w:name="方正仿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6" w:fontKey="{65D52C82-6B58-4CD6-9838-10CD3B2630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480" w:leftChars="150" w:right="480" w:rightChars="150" w:firstLine="0" w:firstLineChars="0"/>
      <w:jc w:val="right"/>
      <w:textAlignment w:val="auto"/>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480" w:leftChars="150" w:right="480" w:rightChars="150" w:firstLine="0" w:firstLineChars="0"/>
      <w:jc w:val="both"/>
      <w:textAlignment w:val="auto"/>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80" w:leftChars="150" w:right="480" w:rightChars="150"/>
      <w:jc w:val="right"/>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480" w:leftChars="150" w:right="480" w:rightChars="150" w:firstLine="0" w:firstLineChars="0"/>
      <w:jc w:val="both"/>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480" w:leftChars="150" w:right="480" w:rightChars="150" w:firstLine="0" w:firstLineChars="0"/>
      <w:jc w:val="right"/>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480" w:leftChars="150" w:right="480" w:rightChars="150" w:firstLine="0" w:firstLineChars="0"/>
      <w:jc w:val="both"/>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480" w:leftChars="150" w:right="480" w:rightChars="150" w:firstLine="0" w:firstLineChars="0"/>
      <w:textAlignment w:val="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ind w:left="480" w:leftChars="150" w:right="480" w:rightChars="150" w:firstLine="0" w:firstLineChars="0"/>
      <w:textAlignment w:val="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20"/>
      </w:pPr>
      <w:r>
        <w:separator/>
      </w:r>
    </w:p>
  </w:footnote>
  <w:footnote w:type="continuationSeparator" w:id="1">
    <w:p>
      <w:pPr>
        <w:ind w:firstLine="6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E937D"/>
    <w:multiLevelType w:val="singleLevel"/>
    <w:tmpl w:val="D5FE937D"/>
    <w:lvl w:ilvl="0" w:tentative="0">
      <w:start w:val="1"/>
      <w:numFmt w:val="decimal"/>
      <w:suff w:val="nothing"/>
      <w:lvlText w:val="%1．"/>
      <w:lvlJc w:val="left"/>
      <w:pPr>
        <w:ind w:left="0" w:firstLine="400"/>
      </w:pPr>
      <w:rPr>
        <w:rFonts w:hint="default"/>
      </w:rPr>
    </w:lvl>
  </w:abstractNum>
  <w:abstractNum w:abstractNumId="1">
    <w:nsid w:val="E5FA4D86"/>
    <w:multiLevelType w:val="singleLevel"/>
    <w:tmpl w:val="E5FA4D86"/>
    <w:lvl w:ilvl="0" w:tentative="0">
      <w:start w:val="1"/>
      <w:numFmt w:val="decimal"/>
      <w:lvlText w:val="%1."/>
      <w:lvlJc w:val="left"/>
      <w:pPr>
        <w:ind w:left="425" w:hanging="425"/>
      </w:pPr>
      <w:rPr>
        <w:rFonts w:hint="default"/>
      </w:rPr>
    </w:lvl>
  </w:abstractNum>
  <w:abstractNum w:abstractNumId="2">
    <w:nsid w:val="FBEE37C3"/>
    <w:multiLevelType w:val="singleLevel"/>
    <w:tmpl w:val="FBEE37C3"/>
    <w:lvl w:ilvl="0" w:tentative="0">
      <w:start w:val="1"/>
      <w:numFmt w:val="decimal"/>
      <w:lvlText w:val="%1."/>
      <w:lvlJc w:val="left"/>
      <w:pPr>
        <w:ind w:left="425" w:hanging="425"/>
      </w:pPr>
      <w:rPr>
        <w:rFonts w:hint="default"/>
      </w:rPr>
    </w:lvl>
  </w:abstractNum>
  <w:abstractNum w:abstractNumId="3">
    <w:nsid w:val="FDA6C93C"/>
    <w:multiLevelType w:val="singleLevel"/>
    <w:tmpl w:val="FDA6C93C"/>
    <w:lvl w:ilvl="0" w:tentative="0">
      <w:start w:val="1"/>
      <w:numFmt w:val="decimal"/>
      <w:suff w:val="nothing"/>
      <w:lvlText w:val="（%1）"/>
      <w:lvlJc w:val="left"/>
    </w:lvl>
  </w:abstractNum>
  <w:abstractNum w:abstractNumId="4">
    <w:nsid w:val="FE1FBB87"/>
    <w:multiLevelType w:val="singleLevel"/>
    <w:tmpl w:val="FE1FBB87"/>
    <w:lvl w:ilvl="0" w:tentative="0">
      <w:start w:val="1"/>
      <w:numFmt w:val="decimal"/>
      <w:lvlText w:val="%1."/>
      <w:lvlJc w:val="left"/>
      <w:pPr>
        <w:ind w:left="425" w:hanging="425"/>
      </w:pPr>
      <w:rPr>
        <w:rFonts w:hint="default"/>
      </w:rPr>
    </w:lvl>
  </w:abstractNum>
  <w:abstractNum w:abstractNumId="5">
    <w:nsid w:val="FF7BAF6A"/>
    <w:multiLevelType w:val="singleLevel"/>
    <w:tmpl w:val="FF7BAF6A"/>
    <w:lvl w:ilvl="0" w:tentative="0">
      <w:start w:val="1"/>
      <w:numFmt w:val="decimal"/>
      <w:suff w:val="nothing"/>
      <w:lvlText w:val="（%1）"/>
      <w:lvlJc w:val="left"/>
    </w:lvl>
  </w:abstractNum>
  <w:abstractNum w:abstractNumId="6">
    <w:nsid w:val="76BE46AF"/>
    <w:multiLevelType w:val="singleLevel"/>
    <w:tmpl w:val="76BE46AF"/>
    <w:lvl w:ilvl="0" w:tentative="0">
      <w:start w:val="2"/>
      <w:numFmt w:val="decimal"/>
      <w:suff w:val="nothing"/>
      <w:lvlText w:val="（%1）"/>
      <w:lvlJc w:val="left"/>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60"/>
  <w:drawingGridVerticalSpacing w:val="30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N2JiZjY1YmFjOWMzMmZjNmU0OWYwMmY4ZmI2NDIifQ=="/>
  </w:docVars>
  <w:rsids>
    <w:rsidRoot w:val="31E64D3D"/>
    <w:rsid w:val="00047F06"/>
    <w:rsid w:val="0005066C"/>
    <w:rsid w:val="00052B1C"/>
    <w:rsid w:val="0005386C"/>
    <w:rsid w:val="00076D28"/>
    <w:rsid w:val="00096AF1"/>
    <w:rsid w:val="000B684E"/>
    <w:rsid w:val="000B7B6F"/>
    <w:rsid w:val="000C0C08"/>
    <w:rsid w:val="000C108E"/>
    <w:rsid w:val="000C1717"/>
    <w:rsid w:val="000D7F3A"/>
    <w:rsid w:val="0010712D"/>
    <w:rsid w:val="00112A30"/>
    <w:rsid w:val="0013038C"/>
    <w:rsid w:val="0013549C"/>
    <w:rsid w:val="00147FC0"/>
    <w:rsid w:val="001535A7"/>
    <w:rsid w:val="00154420"/>
    <w:rsid w:val="001653FC"/>
    <w:rsid w:val="00177BC8"/>
    <w:rsid w:val="001828C5"/>
    <w:rsid w:val="0019093B"/>
    <w:rsid w:val="001920F8"/>
    <w:rsid w:val="001A0245"/>
    <w:rsid w:val="001A78BB"/>
    <w:rsid w:val="001B449F"/>
    <w:rsid w:val="001E0AC1"/>
    <w:rsid w:val="001E1896"/>
    <w:rsid w:val="001F6832"/>
    <w:rsid w:val="00200C32"/>
    <w:rsid w:val="00203867"/>
    <w:rsid w:val="002077C8"/>
    <w:rsid w:val="002233F5"/>
    <w:rsid w:val="00230604"/>
    <w:rsid w:val="00243E19"/>
    <w:rsid w:val="0025030C"/>
    <w:rsid w:val="0026542E"/>
    <w:rsid w:val="00272889"/>
    <w:rsid w:val="00273C2E"/>
    <w:rsid w:val="00274CB0"/>
    <w:rsid w:val="002768EB"/>
    <w:rsid w:val="00284D81"/>
    <w:rsid w:val="002A510D"/>
    <w:rsid w:val="002B7974"/>
    <w:rsid w:val="002E0E52"/>
    <w:rsid w:val="002E7585"/>
    <w:rsid w:val="002E7BB1"/>
    <w:rsid w:val="002F17F2"/>
    <w:rsid w:val="002F41C9"/>
    <w:rsid w:val="002F59D9"/>
    <w:rsid w:val="003004CB"/>
    <w:rsid w:val="00311F75"/>
    <w:rsid w:val="00312EEA"/>
    <w:rsid w:val="003232CB"/>
    <w:rsid w:val="00346F7C"/>
    <w:rsid w:val="00353271"/>
    <w:rsid w:val="003535EF"/>
    <w:rsid w:val="003603AF"/>
    <w:rsid w:val="00361B8F"/>
    <w:rsid w:val="003911B9"/>
    <w:rsid w:val="003A2DA7"/>
    <w:rsid w:val="003A6624"/>
    <w:rsid w:val="003A6CDC"/>
    <w:rsid w:val="003B274E"/>
    <w:rsid w:val="003B74FB"/>
    <w:rsid w:val="003C3CFD"/>
    <w:rsid w:val="003C682D"/>
    <w:rsid w:val="0040068F"/>
    <w:rsid w:val="00407D67"/>
    <w:rsid w:val="00450818"/>
    <w:rsid w:val="00464A77"/>
    <w:rsid w:val="004676E9"/>
    <w:rsid w:val="00470211"/>
    <w:rsid w:val="00486503"/>
    <w:rsid w:val="004B62D6"/>
    <w:rsid w:val="004D0662"/>
    <w:rsid w:val="004F5E12"/>
    <w:rsid w:val="00511FE8"/>
    <w:rsid w:val="00516161"/>
    <w:rsid w:val="00533F62"/>
    <w:rsid w:val="00545623"/>
    <w:rsid w:val="00545C5B"/>
    <w:rsid w:val="0056010B"/>
    <w:rsid w:val="0057247F"/>
    <w:rsid w:val="005751E3"/>
    <w:rsid w:val="00587C7D"/>
    <w:rsid w:val="00593EB7"/>
    <w:rsid w:val="0059739C"/>
    <w:rsid w:val="005A6FC8"/>
    <w:rsid w:val="005B5125"/>
    <w:rsid w:val="005C5CD5"/>
    <w:rsid w:val="005D0EE0"/>
    <w:rsid w:val="005E0AD9"/>
    <w:rsid w:val="005F2447"/>
    <w:rsid w:val="00614826"/>
    <w:rsid w:val="006405CF"/>
    <w:rsid w:val="0064131C"/>
    <w:rsid w:val="006428EE"/>
    <w:rsid w:val="006554DD"/>
    <w:rsid w:val="006723F8"/>
    <w:rsid w:val="00682AD8"/>
    <w:rsid w:val="00691C5D"/>
    <w:rsid w:val="006923E0"/>
    <w:rsid w:val="006A2B4C"/>
    <w:rsid w:val="006B4DB1"/>
    <w:rsid w:val="006B5231"/>
    <w:rsid w:val="006C4A2D"/>
    <w:rsid w:val="006C7F3B"/>
    <w:rsid w:val="006D4F8F"/>
    <w:rsid w:val="006F1CEE"/>
    <w:rsid w:val="006F6D50"/>
    <w:rsid w:val="007157B6"/>
    <w:rsid w:val="00734C68"/>
    <w:rsid w:val="0077261D"/>
    <w:rsid w:val="007930D4"/>
    <w:rsid w:val="007A3AED"/>
    <w:rsid w:val="007A3C75"/>
    <w:rsid w:val="007E02F4"/>
    <w:rsid w:val="007E7DC9"/>
    <w:rsid w:val="007F0694"/>
    <w:rsid w:val="007F0E60"/>
    <w:rsid w:val="007F35BA"/>
    <w:rsid w:val="00811E43"/>
    <w:rsid w:val="00814704"/>
    <w:rsid w:val="008333D1"/>
    <w:rsid w:val="00847D0E"/>
    <w:rsid w:val="008603FD"/>
    <w:rsid w:val="008634B2"/>
    <w:rsid w:val="008746A3"/>
    <w:rsid w:val="0088515C"/>
    <w:rsid w:val="00886904"/>
    <w:rsid w:val="008A4B13"/>
    <w:rsid w:val="008C3283"/>
    <w:rsid w:val="008D0E73"/>
    <w:rsid w:val="008D2DF0"/>
    <w:rsid w:val="008D4BF3"/>
    <w:rsid w:val="008E1F73"/>
    <w:rsid w:val="009227A3"/>
    <w:rsid w:val="00924146"/>
    <w:rsid w:val="00924358"/>
    <w:rsid w:val="0092754F"/>
    <w:rsid w:val="009427B2"/>
    <w:rsid w:val="00946AC0"/>
    <w:rsid w:val="00952532"/>
    <w:rsid w:val="009661A0"/>
    <w:rsid w:val="00983BCE"/>
    <w:rsid w:val="009862E8"/>
    <w:rsid w:val="00992749"/>
    <w:rsid w:val="009E5CEC"/>
    <w:rsid w:val="009E659A"/>
    <w:rsid w:val="009E7883"/>
    <w:rsid w:val="009F045D"/>
    <w:rsid w:val="009F7CF4"/>
    <w:rsid w:val="00A06596"/>
    <w:rsid w:val="00A10AF3"/>
    <w:rsid w:val="00A135BD"/>
    <w:rsid w:val="00A13981"/>
    <w:rsid w:val="00A15E93"/>
    <w:rsid w:val="00A301C0"/>
    <w:rsid w:val="00A30908"/>
    <w:rsid w:val="00A3338C"/>
    <w:rsid w:val="00A44E06"/>
    <w:rsid w:val="00A54AB7"/>
    <w:rsid w:val="00A65A4B"/>
    <w:rsid w:val="00A937F3"/>
    <w:rsid w:val="00AA1E81"/>
    <w:rsid w:val="00AA48BE"/>
    <w:rsid w:val="00AA4993"/>
    <w:rsid w:val="00AA7D00"/>
    <w:rsid w:val="00AB7C72"/>
    <w:rsid w:val="00AC3C00"/>
    <w:rsid w:val="00AD542B"/>
    <w:rsid w:val="00AF4880"/>
    <w:rsid w:val="00AF50A4"/>
    <w:rsid w:val="00B43702"/>
    <w:rsid w:val="00B500F1"/>
    <w:rsid w:val="00B53219"/>
    <w:rsid w:val="00B53539"/>
    <w:rsid w:val="00B716EF"/>
    <w:rsid w:val="00B72BB7"/>
    <w:rsid w:val="00B75B51"/>
    <w:rsid w:val="00B8362B"/>
    <w:rsid w:val="00B903C3"/>
    <w:rsid w:val="00B9341B"/>
    <w:rsid w:val="00BA3D81"/>
    <w:rsid w:val="00BB0638"/>
    <w:rsid w:val="00BD1F27"/>
    <w:rsid w:val="00BE1BFB"/>
    <w:rsid w:val="00C04FD8"/>
    <w:rsid w:val="00C147E3"/>
    <w:rsid w:val="00C16E82"/>
    <w:rsid w:val="00C22F25"/>
    <w:rsid w:val="00C30F6A"/>
    <w:rsid w:val="00C54BF5"/>
    <w:rsid w:val="00C83848"/>
    <w:rsid w:val="00C87D7F"/>
    <w:rsid w:val="00C9179B"/>
    <w:rsid w:val="00C92A1F"/>
    <w:rsid w:val="00CD0A64"/>
    <w:rsid w:val="00CD0B20"/>
    <w:rsid w:val="00CD3E5E"/>
    <w:rsid w:val="00CF2D04"/>
    <w:rsid w:val="00D01CD4"/>
    <w:rsid w:val="00D16F1A"/>
    <w:rsid w:val="00D21574"/>
    <w:rsid w:val="00D270B2"/>
    <w:rsid w:val="00D33805"/>
    <w:rsid w:val="00D4155F"/>
    <w:rsid w:val="00D533CE"/>
    <w:rsid w:val="00D74204"/>
    <w:rsid w:val="00D76DED"/>
    <w:rsid w:val="00D81AEB"/>
    <w:rsid w:val="00D90DD3"/>
    <w:rsid w:val="00D94500"/>
    <w:rsid w:val="00DA2233"/>
    <w:rsid w:val="00DB51DB"/>
    <w:rsid w:val="00DC6F09"/>
    <w:rsid w:val="00DD22CA"/>
    <w:rsid w:val="00DD50D2"/>
    <w:rsid w:val="00DE4CEC"/>
    <w:rsid w:val="00DE593C"/>
    <w:rsid w:val="00DE5FAC"/>
    <w:rsid w:val="00DF51DB"/>
    <w:rsid w:val="00E13A28"/>
    <w:rsid w:val="00E214EF"/>
    <w:rsid w:val="00E21872"/>
    <w:rsid w:val="00E57982"/>
    <w:rsid w:val="00E616C0"/>
    <w:rsid w:val="00E65649"/>
    <w:rsid w:val="00E70CFF"/>
    <w:rsid w:val="00E85087"/>
    <w:rsid w:val="00E93FB6"/>
    <w:rsid w:val="00E97C50"/>
    <w:rsid w:val="00EA2A65"/>
    <w:rsid w:val="00EA5C37"/>
    <w:rsid w:val="00EB46A9"/>
    <w:rsid w:val="00EB4966"/>
    <w:rsid w:val="00EE2846"/>
    <w:rsid w:val="00EE2C72"/>
    <w:rsid w:val="00EF6DC9"/>
    <w:rsid w:val="00F2159A"/>
    <w:rsid w:val="00F31CB8"/>
    <w:rsid w:val="00F6029C"/>
    <w:rsid w:val="00F917ED"/>
    <w:rsid w:val="00F95B3C"/>
    <w:rsid w:val="00FA51A5"/>
    <w:rsid w:val="00FA6BB4"/>
    <w:rsid w:val="00FB3144"/>
    <w:rsid w:val="00FC354C"/>
    <w:rsid w:val="00FD0A4D"/>
    <w:rsid w:val="00FD1CF0"/>
    <w:rsid w:val="00FF79E1"/>
    <w:rsid w:val="01FE27DF"/>
    <w:rsid w:val="026C2931"/>
    <w:rsid w:val="029446EA"/>
    <w:rsid w:val="029F1793"/>
    <w:rsid w:val="03077874"/>
    <w:rsid w:val="03830824"/>
    <w:rsid w:val="03A112B3"/>
    <w:rsid w:val="03FE4B43"/>
    <w:rsid w:val="03FEA94F"/>
    <w:rsid w:val="04180F97"/>
    <w:rsid w:val="048D17D5"/>
    <w:rsid w:val="0636653C"/>
    <w:rsid w:val="06A411DD"/>
    <w:rsid w:val="06ED2311"/>
    <w:rsid w:val="07755096"/>
    <w:rsid w:val="077B8221"/>
    <w:rsid w:val="07FBF60F"/>
    <w:rsid w:val="086F0BD1"/>
    <w:rsid w:val="08A619DE"/>
    <w:rsid w:val="0A1977EC"/>
    <w:rsid w:val="0A65EFBE"/>
    <w:rsid w:val="0AD33E3F"/>
    <w:rsid w:val="0B0F5576"/>
    <w:rsid w:val="0B3C14B0"/>
    <w:rsid w:val="0C78482F"/>
    <w:rsid w:val="0CAA69BA"/>
    <w:rsid w:val="0D8C6D9B"/>
    <w:rsid w:val="0DDD773C"/>
    <w:rsid w:val="0DF447F8"/>
    <w:rsid w:val="0E202619"/>
    <w:rsid w:val="0E3DEC98"/>
    <w:rsid w:val="0E7F0C1A"/>
    <w:rsid w:val="0EDD85DE"/>
    <w:rsid w:val="0F1A2729"/>
    <w:rsid w:val="0FBF80BE"/>
    <w:rsid w:val="12DE7825"/>
    <w:rsid w:val="13117BFA"/>
    <w:rsid w:val="133E02C4"/>
    <w:rsid w:val="13BF12F1"/>
    <w:rsid w:val="142B4CEC"/>
    <w:rsid w:val="145E0C1D"/>
    <w:rsid w:val="14787805"/>
    <w:rsid w:val="14AB1989"/>
    <w:rsid w:val="150C32EC"/>
    <w:rsid w:val="157D50D3"/>
    <w:rsid w:val="15915022"/>
    <w:rsid w:val="15A72150"/>
    <w:rsid w:val="16104199"/>
    <w:rsid w:val="16A448E1"/>
    <w:rsid w:val="16D056D6"/>
    <w:rsid w:val="16E762DF"/>
    <w:rsid w:val="171E4694"/>
    <w:rsid w:val="17317BD4"/>
    <w:rsid w:val="17942BA8"/>
    <w:rsid w:val="1796570D"/>
    <w:rsid w:val="17E7F945"/>
    <w:rsid w:val="17FF1E48"/>
    <w:rsid w:val="18BC23B6"/>
    <w:rsid w:val="19365274"/>
    <w:rsid w:val="1A1A7AF4"/>
    <w:rsid w:val="1ACE4623"/>
    <w:rsid w:val="1B3E3557"/>
    <w:rsid w:val="1B4E306E"/>
    <w:rsid w:val="1BC4100F"/>
    <w:rsid w:val="1C316563"/>
    <w:rsid w:val="1CA203C6"/>
    <w:rsid w:val="1CC21F65"/>
    <w:rsid w:val="1CFE3E82"/>
    <w:rsid w:val="1DB603D5"/>
    <w:rsid w:val="1E0C1E41"/>
    <w:rsid w:val="1E641526"/>
    <w:rsid w:val="1EB30B39"/>
    <w:rsid w:val="1EDE17D1"/>
    <w:rsid w:val="1EF36406"/>
    <w:rsid w:val="1EFF5D44"/>
    <w:rsid w:val="1EFFCC6D"/>
    <w:rsid w:val="1F6410B2"/>
    <w:rsid w:val="1F73A27A"/>
    <w:rsid w:val="1FAFEB08"/>
    <w:rsid w:val="1FEE58F9"/>
    <w:rsid w:val="1FFF86E6"/>
    <w:rsid w:val="20344F28"/>
    <w:rsid w:val="21433A33"/>
    <w:rsid w:val="21B46321"/>
    <w:rsid w:val="222039B6"/>
    <w:rsid w:val="224B4224"/>
    <w:rsid w:val="23104A8C"/>
    <w:rsid w:val="23B00D6A"/>
    <w:rsid w:val="240C557F"/>
    <w:rsid w:val="24150899"/>
    <w:rsid w:val="245B73B4"/>
    <w:rsid w:val="247C0C4C"/>
    <w:rsid w:val="24E12A44"/>
    <w:rsid w:val="2564005E"/>
    <w:rsid w:val="25BFFE08"/>
    <w:rsid w:val="262E41C8"/>
    <w:rsid w:val="271B299E"/>
    <w:rsid w:val="27F33BF0"/>
    <w:rsid w:val="286B5832"/>
    <w:rsid w:val="28821876"/>
    <w:rsid w:val="289742A6"/>
    <w:rsid w:val="28DC1DD2"/>
    <w:rsid w:val="2ADC41F2"/>
    <w:rsid w:val="2AF211B3"/>
    <w:rsid w:val="2AF76864"/>
    <w:rsid w:val="2B7E52A9"/>
    <w:rsid w:val="2B9032D9"/>
    <w:rsid w:val="2BAD5B8F"/>
    <w:rsid w:val="2BB92D30"/>
    <w:rsid w:val="2BD17ACF"/>
    <w:rsid w:val="2C091017"/>
    <w:rsid w:val="2C6B7F24"/>
    <w:rsid w:val="2D710195"/>
    <w:rsid w:val="2E371E7A"/>
    <w:rsid w:val="2E9372BE"/>
    <w:rsid w:val="2F041F69"/>
    <w:rsid w:val="2F067A90"/>
    <w:rsid w:val="2F1C5505"/>
    <w:rsid w:val="2FB7CCE1"/>
    <w:rsid w:val="2FDEB00D"/>
    <w:rsid w:val="2FEF711C"/>
    <w:rsid w:val="2FF3797F"/>
    <w:rsid w:val="2FF3F21E"/>
    <w:rsid w:val="2FFFEC30"/>
    <w:rsid w:val="304B42F4"/>
    <w:rsid w:val="305D4FBE"/>
    <w:rsid w:val="306233EC"/>
    <w:rsid w:val="30EB769D"/>
    <w:rsid w:val="31216E03"/>
    <w:rsid w:val="31CC4FC0"/>
    <w:rsid w:val="31E64D3D"/>
    <w:rsid w:val="31EE70CB"/>
    <w:rsid w:val="31F97F79"/>
    <w:rsid w:val="325D20BC"/>
    <w:rsid w:val="32640166"/>
    <w:rsid w:val="32B728AA"/>
    <w:rsid w:val="32C65EB4"/>
    <w:rsid w:val="33030EB6"/>
    <w:rsid w:val="33267F08"/>
    <w:rsid w:val="33843679"/>
    <w:rsid w:val="33FFBA9C"/>
    <w:rsid w:val="34E70363"/>
    <w:rsid w:val="354579B8"/>
    <w:rsid w:val="35AF0E81"/>
    <w:rsid w:val="364D2448"/>
    <w:rsid w:val="37977E1F"/>
    <w:rsid w:val="37AF4BEA"/>
    <w:rsid w:val="37BD019D"/>
    <w:rsid w:val="37DF99B3"/>
    <w:rsid w:val="37EF181B"/>
    <w:rsid w:val="37F5E11D"/>
    <w:rsid w:val="37FEF650"/>
    <w:rsid w:val="37FF9F0D"/>
    <w:rsid w:val="384A14CD"/>
    <w:rsid w:val="38550681"/>
    <w:rsid w:val="38BCEFA7"/>
    <w:rsid w:val="38C326E8"/>
    <w:rsid w:val="39390774"/>
    <w:rsid w:val="39557F91"/>
    <w:rsid w:val="39BBA408"/>
    <w:rsid w:val="39FFF622"/>
    <w:rsid w:val="3A062A4C"/>
    <w:rsid w:val="3A3406E1"/>
    <w:rsid w:val="3A6F5083"/>
    <w:rsid w:val="3A7FB0E2"/>
    <w:rsid w:val="3ADE4285"/>
    <w:rsid w:val="3ADF6268"/>
    <w:rsid w:val="3AEF8BB9"/>
    <w:rsid w:val="3AF575EF"/>
    <w:rsid w:val="3AF6AC56"/>
    <w:rsid w:val="3B27206B"/>
    <w:rsid w:val="3B66234B"/>
    <w:rsid w:val="3B68270C"/>
    <w:rsid w:val="3B76C1BA"/>
    <w:rsid w:val="3BB4405E"/>
    <w:rsid w:val="3BB865B6"/>
    <w:rsid w:val="3BD33BE8"/>
    <w:rsid w:val="3BEE494F"/>
    <w:rsid w:val="3BFEA5AC"/>
    <w:rsid w:val="3C0BABAF"/>
    <w:rsid w:val="3C8406AF"/>
    <w:rsid w:val="3D5D1920"/>
    <w:rsid w:val="3D6EF618"/>
    <w:rsid w:val="3DA34E21"/>
    <w:rsid w:val="3E8264FA"/>
    <w:rsid w:val="3E925B61"/>
    <w:rsid w:val="3E9B4698"/>
    <w:rsid w:val="3EAF6583"/>
    <w:rsid w:val="3EC703DC"/>
    <w:rsid w:val="3EEB92FF"/>
    <w:rsid w:val="3EF85481"/>
    <w:rsid w:val="3EFDF3BA"/>
    <w:rsid w:val="3F5C1908"/>
    <w:rsid w:val="3F633569"/>
    <w:rsid w:val="3F696545"/>
    <w:rsid w:val="3F6EC518"/>
    <w:rsid w:val="3F7B593C"/>
    <w:rsid w:val="3F7EE3E9"/>
    <w:rsid w:val="3F7F0795"/>
    <w:rsid w:val="3F7F1263"/>
    <w:rsid w:val="3F7F7102"/>
    <w:rsid w:val="3FBFCE81"/>
    <w:rsid w:val="3FD3118C"/>
    <w:rsid w:val="3FDD2A8F"/>
    <w:rsid w:val="3FED603E"/>
    <w:rsid w:val="3FEF1CA6"/>
    <w:rsid w:val="3FEF44FC"/>
    <w:rsid w:val="3FF613D3"/>
    <w:rsid w:val="3FF6DFCF"/>
    <w:rsid w:val="3FF75D79"/>
    <w:rsid w:val="3FF92D18"/>
    <w:rsid w:val="3FFE149B"/>
    <w:rsid w:val="3FFF30B2"/>
    <w:rsid w:val="404F7D01"/>
    <w:rsid w:val="406665E0"/>
    <w:rsid w:val="407259E9"/>
    <w:rsid w:val="409E0A04"/>
    <w:rsid w:val="40F938F8"/>
    <w:rsid w:val="41C37A62"/>
    <w:rsid w:val="41D455C6"/>
    <w:rsid w:val="41D9610D"/>
    <w:rsid w:val="433D0993"/>
    <w:rsid w:val="43505313"/>
    <w:rsid w:val="437FB2D2"/>
    <w:rsid w:val="43F3E5BA"/>
    <w:rsid w:val="446472DA"/>
    <w:rsid w:val="44C325F6"/>
    <w:rsid w:val="44CE3F8A"/>
    <w:rsid w:val="44FE1AB2"/>
    <w:rsid w:val="45277F6C"/>
    <w:rsid w:val="455B51C6"/>
    <w:rsid w:val="4565330A"/>
    <w:rsid w:val="45BA6393"/>
    <w:rsid w:val="45DB35CC"/>
    <w:rsid w:val="45DD3D90"/>
    <w:rsid w:val="46B22A8E"/>
    <w:rsid w:val="46C67DD9"/>
    <w:rsid w:val="46FFD5F1"/>
    <w:rsid w:val="4703102D"/>
    <w:rsid w:val="47163BC5"/>
    <w:rsid w:val="47A81AF1"/>
    <w:rsid w:val="47B727E0"/>
    <w:rsid w:val="47DEB50F"/>
    <w:rsid w:val="4823125B"/>
    <w:rsid w:val="491533EC"/>
    <w:rsid w:val="493F361F"/>
    <w:rsid w:val="4A3B288C"/>
    <w:rsid w:val="4A5120AF"/>
    <w:rsid w:val="4B08008D"/>
    <w:rsid w:val="4B645E12"/>
    <w:rsid w:val="4B8464B4"/>
    <w:rsid w:val="4BB53506"/>
    <w:rsid w:val="4C496836"/>
    <w:rsid w:val="4CAA019C"/>
    <w:rsid w:val="4CC90C1F"/>
    <w:rsid w:val="4CCB3762"/>
    <w:rsid w:val="4CD74CE0"/>
    <w:rsid w:val="4D891B60"/>
    <w:rsid w:val="4DCF7EBB"/>
    <w:rsid w:val="4DFC8B91"/>
    <w:rsid w:val="4E1C012E"/>
    <w:rsid w:val="4E766588"/>
    <w:rsid w:val="4EAE74DC"/>
    <w:rsid w:val="4EB42C0C"/>
    <w:rsid w:val="4F87E09F"/>
    <w:rsid w:val="4FFB662C"/>
    <w:rsid w:val="504A7CCC"/>
    <w:rsid w:val="50504BB7"/>
    <w:rsid w:val="507D0499"/>
    <w:rsid w:val="50F546A4"/>
    <w:rsid w:val="51762090"/>
    <w:rsid w:val="51C92E73"/>
    <w:rsid w:val="51F75174"/>
    <w:rsid w:val="525603FC"/>
    <w:rsid w:val="52750905"/>
    <w:rsid w:val="52846D9A"/>
    <w:rsid w:val="52BBF29B"/>
    <w:rsid w:val="532C5467"/>
    <w:rsid w:val="53376045"/>
    <w:rsid w:val="53971912"/>
    <w:rsid w:val="53B05F89"/>
    <w:rsid w:val="53F1220D"/>
    <w:rsid w:val="5424496B"/>
    <w:rsid w:val="542D76E9"/>
    <w:rsid w:val="543F12D7"/>
    <w:rsid w:val="54501DEA"/>
    <w:rsid w:val="549A65AC"/>
    <w:rsid w:val="54C65448"/>
    <w:rsid w:val="54EC3AC2"/>
    <w:rsid w:val="55443E40"/>
    <w:rsid w:val="559C73AD"/>
    <w:rsid w:val="55D65B5E"/>
    <w:rsid w:val="55F12998"/>
    <w:rsid w:val="56170FC7"/>
    <w:rsid w:val="56625644"/>
    <w:rsid w:val="56755377"/>
    <w:rsid w:val="56BC2BC9"/>
    <w:rsid w:val="56EAA81C"/>
    <w:rsid w:val="56FE2FC7"/>
    <w:rsid w:val="5768C649"/>
    <w:rsid w:val="577066DE"/>
    <w:rsid w:val="57775D13"/>
    <w:rsid w:val="57A66922"/>
    <w:rsid w:val="57A763FC"/>
    <w:rsid w:val="57E24C8E"/>
    <w:rsid w:val="57F58DF1"/>
    <w:rsid w:val="58121C3F"/>
    <w:rsid w:val="58243B75"/>
    <w:rsid w:val="58D75E75"/>
    <w:rsid w:val="58F46A27"/>
    <w:rsid w:val="59080725"/>
    <w:rsid w:val="59396B30"/>
    <w:rsid w:val="5A7BF289"/>
    <w:rsid w:val="5AB67D0C"/>
    <w:rsid w:val="5B73E28C"/>
    <w:rsid w:val="5BCC3C8B"/>
    <w:rsid w:val="5BDF2403"/>
    <w:rsid w:val="5BE56AFB"/>
    <w:rsid w:val="5BFBC58E"/>
    <w:rsid w:val="5BFF1680"/>
    <w:rsid w:val="5CA249EC"/>
    <w:rsid w:val="5CBA6210"/>
    <w:rsid w:val="5CE9261B"/>
    <w:rsid w:val="5CFBC926"/>
    <w:rsid w:val="5D7FAB39"/>
    <w:rsid w:val="5DBF03AA"/>
    <w:rsid w:val="5DBF3D41"/>
    <w:rsid w:val="5DBFC0B5"/>
    <w:rsid w:val="5DFB5C7C"/>
    <w:rsid w:val="5E512226"/>
    <w:rsid w:val="5E69C41F"/>
    <w:rsid w:val="5EA3097D"/>
    <w:rsid w:val="5EA41674"/>
    <w:rsid w:val="5EB883B6"/>
    <w:rsid w:val="5EBB54D7"/>
    <w:rsid w:val="5EC7698C"/>
    <w:rsid w:val="5ECDF304"/>
    <w:rsid w:val="5ED339F9"/>
    <w:rsid w:val="5ED70A2C"/>
    <w:rsid w:val="5F6EC7B9"/>
    <w:rsid w:val="5F8D3732"/>
    <w:rsid w:val="5F9E090F"/>
    <w:rsid w:val="5FB37DB5"/>
    <w:rsid w:val="5FBAD6EF"/>
    <w:rsid w:val="5FBBBC10"/>
    <w:rsid w:val="5FCFA04E"/>
    <w:rsid w:val="5FEEEC4F"/>
    <w:rsid w:val="5FFF34ED"/>
    <w:rsid w:val="5FFFB3B3"/>
    <w:rsid w:val="607D37A6"/>
    <w:rsid w:val="60E9786A"/>
    <w:rsid w:val="60F31CBA"/>
    <w:rsid w:val="60F65306"/>
    <w:rsid w:val="61620226"/>
    <w:rsid w:val="6247406C"/>
    <w:rsid w:val="627186A9"/>
    <w:rsid w:val="62A25746"/>
    <w:rsid w:val="62EFC566"/>
    <w:rsid w:val="639EE204"/>
    <w:rsid w:val="64243F39"/>
    <w:rsid w:val="64F53DEB"/>
    <w:rsid w:val="65227AFB"/>
    <w:rsid w:val="655E00D6"/>
    <w:rsid w:val="65DE2247"/>
    <w:rsid w:val="65E41BFF"/>
    <w:rsid w:val="65FA6D53"/>
    <w:rsid w:val="665EF492"/>
    <w:rsid w:val="666920D7"/>
    <w:rsid w:val="66955D2A"/>
    <w:rsid w:val="66AA03D9"/>
    <w:rsid w:val="66C817D2"/>
    <w:rsid w:val="66D22232"/>
    <w:rsid w:val="66F960E2"/>
    <w:rsid w:val="677A1420"/>
    <w:rsid w:val="67A25996"/>
    <w:rsid w:val="67AD7BFE"/>
    <w:rsid w:val="67F60A35"/>
    <w:rsid w:val="67FDD6BE"/>
    <w:rsid w:val="67FF51BB"/>
    <w:rsid w:val="681C5653"/>
    <w:rsid w:val="68670155"/>
    <w:rsid w:val="68DE587A"/>
    <w:rsid w:val="68F00740"/>
    <w:rsid w:val="69112CDD"/>
    <w:rsid w:val="695B6D55"/>
    <w:rsid w:val="69AE2F90"/>
    <w:rsid w:val="69DF88E5"/>
    <w:rsid w:val="69DFB16B"/>
    <w:rsid w:val="69E27FA8"/>
    <w:rsid w:val="69EF4A21"/>
    <w:rsid w:val="69FF197E"/>
    <w:rsid w:val="6A334BF3"/>
    <w:rsid w:val="6AA14535"/>
    <w:rsid w:val="6B7764EC"/>
    <w:rsid w:val="6B83F32C"/>
    <w:rsid w:val="6B979A84"/>
    <w:rsid w:val="6B99520C"/>
    <w:rsid w:val="6BAF2C82"/>
    <w:rsid w:val="6BEFD291"/>
    <w:rsid w:val="6BF647B4"/>
    <w:rsid w:val="6BFA52FF"/>
    <w:rsid w:val="6BFEF85D"/>
    <w:rsid w:val="6C326C2C"/>
    <w:rsid w:val="6CBF25A7"/>
    <w:rsid w:val="6CD84BBB"/>
    <w:rsid w:val="6CF26D39"/>
    <w:rsid w:val="6CFD25EE"/>
    <w:rsid w:val="6CFF2F08"/>
    <w:rsid w:val="6D761CA9"/>
    <w:rsid w:val="6DCB5407"/>
    <w:rsid w:val="6DCF13B9"/>
    <w:rsid w:val="6DD9A52C"/>
    <w:rsid w:val="6DE8140C"/>
    <w:rsid w:val="6F4E2EF9"/>
    <w:rsid w:val="6F4F820C"/>
    <w:rsid w:val="6F7BDFBE"/>
    <w:rsid w:val="6F7F8376"/>
    <w:rsid w:val="6F863CF9"/>
    <w:rsid w:val="6F8D062A"/>
    <w:rsid w:val="6F8F5FFF"/>
    <w:rsid w:val="6FBFAEEE"/>
    <w:rsid w:val="6FE7B679"/>
    <w:rsid w:val="6FF72D36"/>
    <w:rsid w:val="6FF7D80F"/>
    <w:rsid w:val="6FFB5CE5"/>
    <w:rsid w:val="6FFB8DCF"/>
    <w:rsid w:val="6FFF1D30"/>
    <w:rsid w:val="6FFF1FA4"/>
    <w:rsid w:val="703F2699"/>
    <w:rsid w:val="70691651"/>
    <w:rsid w:val="70FD7FEB"/>
    <w:rsid w:val="71026884"/>
    <w:rsid w:val="711D41EA"/>
    <w:rsid w:val="713A0C46"/>
    <w:rsid w:val="713F00E9"/>
    <w:rsid w:val="71404C8A"/>
    <w:rsid w:val="719426FE"/>
    <w:rsid w:val="71C05A8B"/>
    <w:rsid w:val="71DFDD19"/>
    <w:rsid w:val="71E90B33"/>
    <w:rsid w:val="72991FA4"/>
    <w:rsid w:val="72B80364"/>
    <w:rsid w:val="73B7E9D8"/>
    <w:rsid w:val="73D714F1"/>
    <w:rsid w:val="73DBB405"/>
    <w:rsid w:val="73F65135"/>
    <w:rsid w:val="74B9247B"/>
    <w:rsid w:val="74B9CAEA"/>
    <w:rsid w:val="74BF3F35"/>
    <w:rsid w:val="74CDFDDA"/>
    <w:rsid w:val="75762B41"/>
    <w:rsid w:val="75CB8558"/>
    <w:rsid w:val="75DF2648"/>
    <w:rsid w:val="75EFE960"/>
    <w:rsid w:val="761967E3"/>
    <w:rsid w:val="76DDAEF4"/>
    <w:rsid w:val="76E30DA0"/>
    <w:rsid w:val="76E61378"/>
    <w:rsid w:val="76F67F34"/>
    <w:rsid w:val="77020109"/>
    <w:rsid w:val="77370B32"/>
    <w:rsid w:val="777B2595"/>
    <w:rsid w:val="777C6121"/>
    <w:rsid w:val="777F1248"/>
    <w:rsid w:val="7793274A"/>
    <w:rsid w:val="77B63AC7"/>
    <w:rsid w:val="77E43CC6"/>
    <w:rsid w:val="77E54D74"/>
    <w:rsid w:val="77EE0EA4"/>
    <w:rsid w:val="77EE989A"/>
    <w:rsid w:val="77EFDBA0"/>
    <w:rsid w:val="77F27F79"/>
    <w:rsid w:val="77FB9001"/>
    <w:rsid w:val="77FF6671"/>
    <w:rsid w:val="77FFC523"/>
    <w:rsid w:val="788D15CD"/>
    <w:rsid w:val="78F16688"/>
    <w:rsid w:val="78FDC4BB"/>
    <w:rsid w:val="7956C76A"/>
    <w:rsid w:val="79703E1F"/>
    <w:rsid w:val="799F3AF2"/>
    <w:rsid w:val="79EF03DB"/>
    <w:rsid w:val="79FBEF56"/>
    <w:rsid w:val="79FEC9F5"/>
    <w:rsid w:val="7A3A5E0C"/>
    <w:rsid w:val="7A6E6778"/>
    <w:rsid w:val="7AAD5089"/>
    <w:rsid w:val="7AB325E9"/>
    <w:rsid w:val="7AF7BB33"/>
    <w:rsid w:val="7AFAB0D7"/>
    <w:rsid w:val="7AFFDD19"/>
    <w:rsid w:val="7AFFE6F3"/>
    <w:rsid w:val="7B7F41F1"/>
    <w:rsid w:val="7B8F8A64"/>
    <w:rsid w:val="7BA05B14"/>
    <w:rsid w:val="7BDB5FDB"/>
    <w:rsid w:val="7BDF1BBE"/>
    <w:rsid w:val="7BF34CAA"/>
    <w:rsid w:val="7BF3AC08"/>
    <w:rsid w:val="7BF7DE6C"/>
    <w:rsid w:val="7C123B62"/>
    <w:rsid w:val="7C18217D"/>
    <w:rsid w:val="7C4F63A8"/>
    <w:rsid w:val="7C7D0AF8"/>
    <w:rsid w:val="7CDFA719"/>
    <w:rsid w:val="7D1F6170"/>
    <w:rsid w:val="7D284642"/>
    <w:rsid w:val="7D36570F"/>
    <w:rsid w:val="7D65CDF9"/>
    <w:rsid w:val="7D76D021"/>
    <w:rsid w:val="7D7B21D2"/>
    <w:rsid w:val="7D7D4C45"/>
    <w:rsid w:val="7D7F050F"/>
    <w:rsid w:val="7D7FB4CB"/>
    <w:rsid w:val="7D86035D"/>
    <w:rsid w:val="7D8727E9"/>
    <w:rsid w:val="7D97B0C9"/>
    <w:rsid w:val="7D9F0022"/>
    <w:rsid w:val="7DDB5753"/>
    <w:rsid w:val="7DEEFB9F"/>
    <w:rsid w:val="7DF70797"/>
    <w:rsid w:val="7DF73E12"/>
    <w:rsid w:val="7DFEB2A2"/>
    <w:rsid w:val="7DFFD1A7"/>
    <w:rsid w:val="7E3A318C"/>
    <w:rsid w:val="7E6D67B0"/>
    <w:rsid w:val="7E766C2A"/>
    <w:rsid w:val="7E9F1355"/>
    <w:rsid w:val="7EAE46CF"/>
    <w:rsid w:val="7EB7326D"/>
    <w:rsid w:val="7EF1A8E4"/>
    <w:rsid w:val="7EFB3B6A"/>
    <w:rsid w:val="7EFBBE54"/>
    <w:rsid w:val="7EFF73AF"/>
    <w:rsid w:val="7F251AD8"/>
    <w:rsid w:val="7F69BA5C"/>
    <w:rsid w:val="7F6D7646"/>
    <w:rsid w:val="7F6F0AF8"/>
    <w:rsid w:val="7F77524D"/>
    <w:rsid w:val="7F778CA1"/>
    <w:rsid w:val="7F792256"/>
    <w:rsid w:val="7F79378A"/>
    <w:rsid w:val="7F7C4BCD"/>
    <w:rsid w:val="7F7C827C"/>
    <w:rsid w:val="7F7FCD87"/>
    <w:rsid w:val="7F8C4DCF"/>
    <w:rsid w:val="7F8DB56A"/>
    <w:rsid w:val="7F8DBD4C"/>
    <w:rsid w:val="7F9F05CF"/>
    <w:rsid w:val="7FA79918"/>
    <w:rsid w:val="7FAC88C0"/>
    <w:rsid w:val="7FADDDB6"/>
    <w:rsid w:val="7FAF4F98"/>
    <w:rsid w:val="7FBCD251"/>
    <w:rsid w:val="7FBD5643"/>
    <w:rsid w:val="7FBEBC65"/>
    <w:rsid w:val="7FBF33AF"/>
    <w:rsid w:val="7FBF61CB"/>
    <w:rsid w:val="7FBF8595"/>
    <w:rsid w:val="7FD33351"/>
    <w:rsid w:val="7FD366C6"/>
    <w:rsid w:val="7FE9D0B6"/>
    <w:rsid w:val="7FEC5278"/>
    <w:rsid w:val="7FEF8216"/>
    <w:rsid w:val="7FEFFC49"/>
    <w:rsid w:val="7FF197C2"/>
    <w:rsid w:val="7FF76029"/>
    <w:rsid w:val="7FFC0B04"/>
    <w:rsid w:val="7FFC93A6"/>
    <w:rsid w:val="7FFD24A2"/>
    <w:rsid w:val="7FFE7B55"/>
    <w:rsid w:val="7FFE9F43"/>
    <w:rsid w:val="7FFECF56"/>
    <w:rsid w:val="7FFF1D58"/>
    <w:rsid w:val="7FFF7482"/>
    <w:rsid w:val="7FFF985A"/>
    <w:rsid w:val="7FFFCC2D"/>
    <w:rsid w:val="80D98142"/>
    <w:rsid w:val="83EBE7EE"/>
    <w:rsid w:val="87196A87"/>
    <w:rsid w:val="87EE1D08"/>
    <w:rsid w:val="8B6D281E"/>
    <w:rsid w:val="8BD766B3"/>
    <w:rsid w:val="8DFED277"/>
    <w:rsid w:val="8FEF6AFF"/>
    <w:rsid w:val="95368A9E"/>
    <w:rsid w:val="97BDD52C"/>
    <w:rsid w:val="97F7150E"/>
    <w:rsid w:val="9AA354C9"/>
    <w:rsid w:val="9B768F02"/>
    <w:rsid w:val="9EFF9768"/>
    <w:rsid w:val="9F9AE1FE"/>
    <w:rsid w:val="9FFB64EC"/>
    <w:rsid w:val="9FFEEC19"/>
    <w:rsid w:val="A6BF38F4"/>
    <w:rsid w:val="A72FEA71"/>
    <w:rsid w:val="A7742758"/>
    <w:rsid w:val="A77F7D6E"/>
    <w:rsid w:val="A88F1325"/>
    <w:rsid w:val="AC772D20"/>
    <w:rsid w:val="ACFF8812"/>
    <w:rsid w:val="AD9F878C"/>
    <w:rsid w:val="ADCE0501"/>
    <w:rsid w:val="AE7DCBD1"/>
    <w:rsid w:val="AE861604"/>
    <w:rsid w:val="AE9B5F31"/>
    <w:rsid w:val="AF33C541"/>
    <w:rsid w:val="AFBF2487"/>
    <w:rsid w:val="AFBFAF22"/>
    <w:rsid w:val="AFEE5E4F"/>
    <w:rsid w:val="AFEFA169"/>
    <w:rsid w:val="AFFFC9F2"/>
    <w:rsid w:val="B1EFDAFB"/>
    <w:rsid w:val="B27EBE9A"/>
    <w:rsid w:val="B37E4C8C"/>
    <w:rsid w:val="B3B03544"/>
    <w:rsid w:val="B3C7517B"/>
    <w:rsid w:val="B3DF046B"/>
    <w:rsid w:val="B46FA85F"/>
    <w:rsid w:val="B4E78C6C"/>
    <w:rsid w:val="B56F8771"/>
    <w:rsid w:val="B5EA7E82"/>
    <w:rsid w:val="B6FB07C4"/>
    <w:rsid w:val="B73B8BFB"/>
    <w:rsid w:val="B7C170C1"/>
    <w:rsid w:val="B7E3B909"/>
    <w:rsid w:val="B93A7D29"/>
    <w:rsid w:val="B9AB5037"/>
    <w:rsid w:val="B9BF779B"/>
    <w:rsid w:val="BA0EEFB7"/>
    <w:rsid w:val="BAEF4FD7"/>
    <w:rsid w:val="BBBF95EE"/>
    <w:rsid w:val="BBC9B4EF"/>
    <w:rsid w:val="BDE99EC4"/>
    <w:rsid w:val="BEEF5834"/>
    <w:rsid w:val="BEFFC072"/>
    <w:rsid w:val="BF3BBBAE"/>
    <w:rsid w:val="BF3E90C5"/>
    <w:rsid w:val="BF6CF994"/>
    <w:rsid w:val="BF76D34C"/>
    <w:rsid w:val="BF772F94"/>
    <w:rsid w:val="BF7DCAB4"/>
    <w:rsid w:val="BF8CF469"/>
    <w:rsid w:val="BF9B0274"/>
    <w:rsid w:val="BFBF5F90"/>
    <w:rsid w:val="BFD19CD4"/>
    <w:rsid w:val="BFDA88DD"/>
    <w:rsid w:val="BFDFE19D"/>
    <w:rsid w:val="BFEF1BF2"/>
    <w:rsid w:val="BFEF274A"/>
    <w:rsid w:val="BFF1C367"/>
    <w:rsid w:val="BFF324D7"/>
    <w:rsid w:val="BFFE7966"/>
    <w:rsid w:val="BFFE8423"/>
    <w:rsid w:val="BFFF0F5E"/>
    <w:rsid w:val="BFFFC9BD"/>
    <w:rsid w:val="C1EAE614"/>
    <w:rsid w:val="C76723C0"/>
    <w:rsid w:val="C7EFCE93"/>
    <w:rsid w:val="C9DE10DB"/>
    <w:rsid w:val="CBCB0837"/>
    <w:rsid w:val="CBEFA7FC"/>
    <w:rsid w:val="CDEFE6AB"/>
    <w:rsid w:val="CE67CB69"/>
    <w:rsid w:val="CE75A150"/>
    <w:rsid w:val="CEFE1B11"/>
    <w:rsid w:val="CF4FAFE3"/>
    <w:rsid w:val="CFEF12E6"/>
    <w:rsid w:val="D0EF98D2"/>
    <w:rsid w:val="D17F341D"/>
    <w:rsid w:val="D29135A4"/>
    <w:rsid w:val="D32BB943"/>
    <w:rsid w:val="D3BC3BC8"/>
    <w:rsid w:val="D3F1929A"/>
    <w:rsid w:val="D43B72E6"/>
    <w:rsid w:val="D53415DB"/>
    <w:rsid w:val="D5DA3A5B"/>
    <w:rsid w:val="D5F648DF"/>
    <w:rsid w:val="D6CD97E3"/>
    <w:rsid w:val="D6EF84A0"/>
    <w:rsid w:val="D77C7063"/>
    <w:rsid w:val="D7B577C4"/>
    <w:rsid w:val="D7F4D6AA"/>
    <w:rsid w:val="D7FED357"/>
    <w:rsid w:val="D93BAB16"/>
    <w:rsid w:val="DB6EBE99"/>
    <w:rsid w:val="DB9FE0C9"/>
    <w:rsid w:val="DBFBF4DB"/>
    <w:rsid w:val="DBFF3067"/>
    <w:rsid w:val="DC9D5319"/>
    <w:rsid w:val="DCB7F408"/>
    <w:rsid w:val="DCBEF0D8"/>
    <w:rsid w:val="DCDF8F19"/>
    <w:rsid w:val="DDAB4235"/>
    <w:rsid w:val="DDBA9D47"/>
    <w:rsid w:val="DDBF2CAF"/>
    <w:rsid w:val="DE77A7A7"/>
    <w:rsid w:val="DE7D7CC4"/>
    <w:rsid w:val="DEBE8D89"/>
    <w:rsid w:val="DED76280"/>
    <w:rsid w:val="DEFE9531"/>
    <w:rsid w:val="DF310A8A"/>
    <w:rsid w:val="DF459A61"/>
    <w:rsid w:val="DF4F5086"/>
    <w:rsid w:val="DF7A36AD"/>
    <w:rsid w:val="DFBCCF5E"/>
    <w:rsid w:val="DFDBF1C6"/>
    <w:rsid w:val="DFF21D67"/>
    <w:rsid w:val="DFFB2C90"/>
    <w:rsid w:val="DFFEB16C"/>
    <w:rsid w:val="DFFF511F"/>
    <w:rsid w:val="E33F89DA"/>
    <w:rsid w:val="E37D909D"/>
    <w:rsid w:val="E5375449"/>
    <w:rsid w:val="E5B96EA0"/>
    <w:rsid w:val="E6ABCC6D"/>
    <w:rsid w:val="E7BF5881"/>
    <w:rsid w:val="E7E6DD8A"/>
    <w:rsid w:val="E7F53AE4"/>
    <w:rsid w:val="E7FE0B19"/>
    <w:rsid w:val="E8379DE5"/>
    <w:rsid w:val="E93F6966"/>
    <w:rsid w:val="E9A58546"/>
    <w:rsid w:val="E9BFC5D4"/>
    <w:rsid w:val="E9FFFB43"/>
    <w:rsid w:val="EAE91D65"/>
    <w:rsid w:val="EB7FCA68"/>
    <w:rsid w:val="EBB1974C"/>
    <w:rsid w:val="EBC46999"/>
    <w:rsid w:val="EBDD7E5F"/>
    <w:rsid w:val="EBFF5A7E"/>
    <w:rsid w:val="ED5F620C"/>
    <w:rsid w:val="ED5F7ED2"/>
    <w:rsid w:val="ED97728A"/>
    <w:rsid w:val="EDE61519"/>
    <w:rsid w:val="EE3F69CD"/>
    <w:rsid w:val="EE9D1E0A"/>
    <w:rsid w:val="EE9FD845"/>
    <w:rsid w:val="EEF7BFBE"/>
    <w:rsid w:val="EEFB275D"/>
    <w:rsid w:val="EEFF8EDE"/>
    <w:rsid w:val="EF75C101"/>
    <w:rsid w:val="EF7FEB38"/>
    <w:rsid w:val="EFB329C9"/>
    <w:rsid w:val="EFC572F0"/>
    <w:rsid w:val="EFDD3BD0"/>
    <w:rsid w:val="EFDEF8D4"/>
    <w:rsid w:val="EFF5C886"/>
    <w:rsid w:val="EFFBED7B"/>
    <w:rsid w:val="EFFDD6D2"/>
    <w:rsid w:val="EFFED1D1"/>
    <w:rsid w:val="F11F23B4"/>
    <w:rsid w:val="F1FC627C"/>
    <w:rsid w:val="F3755CF9"/>
    <w:rsid w:val="F3BB4216"/>
    <w:rsid w:val="F3BFB393"/>
    <w:rsid w:val="F3DF0484"/>
    <w:rsid w:val="F3EC6A33"/>
    <w:rsid w:val="F4AD143B"/>
    <w:rsid w:val="F55FF4B3"/>
    <w:rsid w:val="F5757B11"/>
    <w:rsid w:val="F5A925EC"/>
    <w:rsid w:val="F5B7D5D4"/>
    <w:rsid w:val="F5EF98E8"/>
    <w:rsid w:val="F5F963EE"/>
    <w:rsid w:val="F6CBB46D"/>
    <w:rsid w:val="F6DE2476"/>
    <w:rsid w:val="F6EB5AA4"/>
    <w:rsid w:val="F71FF195"/>
    <w:rsid w:val="F73DD823"/>
    <w:rsid w:val="F73F9BAA"/>
    <w:rsid w:val="F76FD9E2"/>
    <w:rsid w:val="F79FBBF8"/>
    <w:rsid w:val="F7BD8A9F"/>
    <w:rsid w:val="F7CAD356"/>
    <w:rsid w:val="F7D2224C"/>
    <w:rsid w:val="F7D78CB6"/>
    <w:rsid w:val="F7DE58F3"/>
    <w:rsid w:val="F7F91327"/>
    <w:rsid w:val="F96F6688"/>
    <w:rsid w:val="F97BA3F1"/>
    <w:rsid w:val="F99F8134"/>
    <w:rsid w:val="F9BEDD49"/>
    <w:rsid w:val="F9F37547"/>
    <w:rsid w:val="F9FBABDD"/>
    <w:rsid w:val="FA61B991"/>
    <w:rsid w:val="FAD5284C"/>
    <w:rsid w:val="FAFE484B"/>
    <w:rsid w:val="FB1B7824"/>
    <w:rsid w:val="FB63608D"/>
    <w:rsid w:val="FB6F0C34"/>
    <w:rsid w:val="FB7768C5"/>
    <w:rsid w:val="FB7E3E95"/>
    <w:rsid w:val="FB9308AA"/>
    <w:rsid w:val="FBAF0A79"/>
    <w:rsid w:val="FBD21358"/>
    <w:rsid w:val="FBD71236"/>
    <w:rsid w:val="FBE9045A"/>
    <w:rsid w:val="FBEFDF79"/>
    <w:rsid w:val="FBF3BB42"/>
    <w:rsid w:val="FBF9CCFF"/>
    <w:rsid w:val="FBFB1F2D"/>
    <w:rsid w:val="FBFF5226"/>
    <w:rsid w:val="FC5EF88D"/>
    <w:rsid w:val="FC7DE399"/>
    <w:rsid w:val="FD3F058E"/>
    <w:rsid w:val="FD535247"/>
    <w:rsid w:val="FD77B091"/>
    <w:rsid w:val="FD7F5599"/>
    <w:rsid w:val="FDA5A381"/>
    <w:rsid w:val="FDAF39C2"/>
    <w:rsid w:val="FDC9F4BB"/>
    <w:rsid w:val="FDDEBB36"/>
    <w:rsid w:val="FDEDAFE4"/>
    <w:rsid w:val="FDF99365"/>
    <w:rsid w:val="FDFAC821"/>
    <w:rsid w:val="FDFB1467"/>
    <w:rsid w:val="FDFD539C"/>
    <w:rsid w:val="FDFD585C"/>
    <w:rsid w:val="FDFF244B"/>
    <w:rsid w:val="FE0E3CCA"/>
    <w:rsid w:val="FE4B1203"/>
    <w:rsid w:val="FE4FF3C8"/>
    <w:rsid w:val="FE77E810"/>
    <w:rsid w:val="FE9BCCA2"/>
    <w:rsid w:val="FE9F9F8A"/>
    <w:rsid w:val="FECCA4C6"/>
    <w:rsid w:val="FED42662"/>
    <w:rsid w:val="FEDB55F8"/>
    <w:rsid w:val="FEE962CB"/>
    <w:rsid w:val="FEEFEB18"/>
    <w:rsid w:val="FEF7AFAE"/>
    <w:rsid w:val="FEFF016B"/>
    <w:rsid w:val="FEFF04D0"/>
    <w:rsid w:val="FEFF8148"/>
    <w:rsid w:val="FEFFAD29"/>
    <w:rsid w:val="FF57AB18"/>
    <w:rsid w:val="FF62A894"/>
    <w:rsid w:val="FF690170"/>
    <w:rsid w:val="FF6F0A76"/>
    <w:rsid w:val="FF72CE6D"/>
    <w:rsid w:val="FF767900"/>
    <w:rsid w:val="FF7A9761"/>
    <w:rsid w:val="FF7DDCE6"/>
    <w:rsid w:val="FF8BB801"/>
    <w:rsid w:val="FF8F5735"/>
    <w:rsid w:val="FF948C56"/>
    <w:rsid w:val="FF9778A2"/>
    <w:rsid w:val="FFB2DC5F"/>
    <w:rsid w:val="FFB70081"/>
    <w:rsid w:val="FFBA941D"/>
    <w:rsid w:val="FFCC808E"/>
    <w:rsid w:val="FFCE6E2B"/>
    <w:rsid w:val="FFD6CD3D"/>
    <w:rsid w:val="FFD7C523"/>
    <w:rsid w:val="FFDD05B4"/>
    <w:rsid w:val="FFDF2875"/>
    <w:rsid w:val="FFDFA5C5"/>
    <w:rsid w:val="FFE47089"/>
    <w:rsid w:val="FFE61598"/>
    <w:rsid w:val="FFE7625E"/>
    <w:rsid w:val="FFE79BF3"/>
    <w:rsid w:val="FFED6C29"/>
    <w:rsid w:val="FFEE4F7D"/>
    <w:rsid w:val="FFF23D9D"/>
    <w:rsid w:val="FFF50F68"/>
    <w:rsid w:val="FFF775D5"/>
    <w:rsid w:val="FFFB54CA"/>
    <w:rsid w:val="FFFD3FA4"/>
    <w:rsid w:val="FFFD5DCF"/>
    <w:rsid w:val="FFFD88EF"/>
    <w:rsid w:val="FFFF49B8"/>
    <w:rsid w:val="FFFFB2A7"/>
    <w:rsid w:val="FFFFD4CD"/>
    <w:rsid w:val="FFFFF6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宋体" w:hAnsi="宋体" w:eastAsia="仿宋_GB2312"/>
      <w:color w:val="000000"/>
      <w:sz w:val="32"/>
      <w:szCs w:val="24"/>
      <w:lang w:val="en-US" w:eastAsia="zh-CN" w:bidi="ar-SA"/>
    </w:rPr>
  </w:style>
  <w:style w:type="paragraph" w:styleId="4">
    <w:name w:val="heading 1"/>
    <w:basedOn w:val="1"/>
    <w:next w:val="1"/>
    <w:qFormat/>
    <w:uiPriority w:val="0"/>
    <w:pPr>
      <w:keepNext/>
      <w:keepLines/>
      <w:spacing w:beforeLines="0" w:beforeAutospacing="0" w:afterLines="0" w:afterAutospacing="0" w:line="594" w:lineRule="exact"/>
      <w:ind w:firstLine="880" w:firstLineChars="200"/>
      <w:jc w:val="both"/>
      <w:outlineLvl w:val="0"/>
    </w:pPr>
    <w:rPr>
      <w:rFonts w:ascii="Calibri" w:hAnsi="Calibri" w:eastAsia="黑体"/>
      <w:kern w:val="44"/>
    </w:rPr>
  </w:style>
  <w:style w:type="paragraph" w:styleId="5">
    <w:name w:val="heading 2"/>
    <w:basedOn w:val="1"/>
    <w:next w:val="1"/>
    <w:qFormat/>
    <w:uiPriority w:val="9"/>
    <w:pPr>
      <w:keepNext/>
      <w:keepLines/>
      <w:spacing w:line="300" w:lineRule="auto"/>
      <w:ind w:firstLine="0" w:firstLineChars="0"/>
      <w:jc w:val="center"/>
      <w:outlineLvl w:val="1"/>
    </w:pPr>
    <w:rPr>
      <w:rFonts w:eastAsia="黑体"/>
      <w:bCs/>
      <w:sz w:val="32"/>
      <w:szCs w:val="32"/>
    </w:rPr>
  </w:style>
  <w:style w:type="paragraph" w:styleId="6">
    <w:name w:val="heading 3"/>
    <w:basedOn w:val="1"/>
    <w:next w:val="1"/>
    <w:link w:val="19"/>
    <w:qFormat/>
    <w:uiPriority w:val="99"/>
    <w:pPr>
      <w:spacing w:beforeLines="50"/>
      <w:outlineLvl w:val="2"/>
    </w:pPr>
    <w:rPr>
      <w:b/>
      <w:bCs/>
      <w:kern w:val="28"/>
    </w:rPr>
  </w:style>
  <w:style w:type="character" w:default="1" w:styleId="15">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Style w:val="13"/>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7">
    <w:name w:val="annotation text"/>
    <w:basedOn w:val="1"/>
    <w:uiPriority w:val="0"/>
    <w:pPr>
      <w:jc w:val="left"/>
    </w:pPr>
  </w:style>
  <w:style w:type="paragraph" w:styleId="8">
    <w:name w:val="Plain Text"/>
    <w:basedOn w:val="1"/>
    <w:qFormat/>
    <w:uiPriority w:val="0"/>
    <w:pPr>
      <w:spacing w:line="594" w:lineRule="exact"/>
      <w:ind w:firstLine="200" w:firstLineChars="200"/>
    </w:pPr>
    <w:rPr>
      <w:rFonts w:ascii="宋体" w:hAnsi="Courier New" w:eastAsia="宋体" w:cs="仿宋_GB2312"/>
      <w:szCs w:val="21"/>
    </w:rPr>
  </w:style>
  <w:style w:type="paragraph" w:styleId="9">
    <w:name w:val="footer"/>
    <w:basedOn w:val="1"/>
    <w:qFormat/>
    <w:uiPriority w:val="0"/>
    <w:pPr>
      <w:tabs>
        <w:tab w:val="center" w:pos="4153"/>
        <w:tab w:val="right" w:pos="8306"/>
      </w:tabs>
      <w:snapToGrid w:val="0"/>
      <w:spacing w:line="240" w:lineRule="auto"/>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toc 2"/>
    <w:basedOn w:val="1"/>
    <w:next w:val="1"/>
    <w:qFormat/>
    <w:uiPriority w:val="0"/>
    <w:pPr>
      <w:ind w:left="420" w:leftChars="200"/>
    </w:pPr>
    <w:rPr>
      <w:rFonts w:ascii="Calibri" w:hAnsi="Calibri"/>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character" w:styleId="17">
    <w:name w:val="FollowedHyperlink"/>
    <w:uiPriority w:val="0"/>
    <w:rPr>
      <w:color w:val="954F72"/>
      <w:u w:val="single"/>
    </w:rPr>
  </w:style>
  <w:style w:type="character" w:styleId="18">
    <w:name w:val="Hyperlink"/>
    <w:uiPriority w:val="0"/>
    <w:rPr>
      <w:color w:val="0000FF"/>
      <w:u w:val="single"/>
    </w:rPr>
  </w:style>
  <w:style w:type="character" w:customStyle="1" w:styleId="19">
    <w:name w:val="标题 3 字符"/>
    <w:link w:val="6"/>
    <w:uiPriority w:val="0"/>
    <w:rPr>
      <w:b/>
      <w:bCs/>
      <w:kern w:val="2"/>
      <w:sz w:val="32"/>
      <w:szCs w:val="32"/>
    </w:rPr>
  </w:style>
  <w:style w:type="paragraph" w:customStyle="1" w:styleId="20">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2"/>
      <w:lang w:val="en-US" w:eastAsia="zh-CN" w:bidi="ar"/>
    </w:rPr>
  </w:style>
  <w:style w:type="paragraph" w:styleId="21">
    <w:name w:val=""/>
    <w:unhideWhenUsed/>
    <w:uiPriority w:val="99"/>
    <w:rPr>
      <w:rFonts w:ascii="宋体" w:hAnsi="宋体" w:eastAsia="仿宋_GB2312"/>
      <w:color w:val="000000"/>
      <w:sz w:val="32"/>
      <w:szCs w:val="24"/>
      <w:lang w:val="en-US" w:eastAsia="zh-CN" w:bidi="ar-SA"/>
    </w:rPr>
  </w:style>
  <w:style w:type="paragraph" w:customStyle="1" w:styleId="22">
    <w:name w:val="u正文"/>
    <w:basedOn w:val="1"/>
    <w:qFormat/>
    <w:uiPriority w:val="0"/>
    <w:pPr>
      <w:spacing w:beforeLines="10" w:line="312" w:lineRule="auto"/>
      <w:ind w:firstLine="200" w:firstLineChars="200"/>
    </w:pPr>
    <w:rPr>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C:\opt\kingsoft\wps-office\office6\C:\opt\kingsoft\wps-office\office6\C:\OA\ZZ\&#20844;&#25991;&#27169;&#26495;\&#27491;&#25991;&#65292;&#23548;&#20986;&#27169;&#26495;&#22806;&#3259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正文，导出模板外网</Template>
  <Pages>22</Pages>
  <Words>6205</Words>
  <Characters>6348</Characters>
  <Lines>160</Lines>
  <Paragraphs>45</Paragraphs>
  <TotalTime>6.66666666666667</TotalTime>
  <ScaleCrop>false</ScaleCrop>
  <LinksUpToDate>false</LinksUpToDate>
  <CharactersWithSpaces>7065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2021-02-08T21:30:00Z</dcterms:created>
  <dc:creator>李银花</dc:creator>
  <cp:lastModifiedBy>早睡早起</cp:lastModifiedBy>
  <cp:lastPrinted>2023-08-24T22:10:10Z</cp:lastPrinted>
  <dcterms:modified xsi:type="dcterms:W3CDTF">2023-08-29T06:20:31Z</dcterms:modified>
  <dc:title>关于下达第八批社会管理和公共服务</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B21236C2C91C4E519162DE62F7183581_13</vt:lpwstr>
  </property>
</Properties>
</file>